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6EDDB4" w14:textId="5B3890C8" w:rsidR="009A21AE" w:rsidRPr="00F51469" w:rsidRDefault="00C37E5F" w:rsidP="009162D6">
      <w:pPr>
        <w:pStyle w:val="Titre"/>
        <w:jc w:val="both"/>
        <w:rPr>
          <w:sz w:val="32"/>
          <w:szCs w:val="32"/>
        </w:rPr>
      </w:pPr>
      <w:r w:rsidRPr="00F51469">
        <w:rPr>
          <w:sz w:val="32"/>
          <w:szCs w:val="32"/>
        </w:rPr>
        <w:t>Incitatifs prévention</w:t>
      </w:r>
    </w:p>
    <w:p w14:paraId="6F3BF531" w14:textId="19E65195" w:rsidR="008B7099" w:rsidRDefault="007D0137" w:rsidP="00966CB0">
      <w:pPr>
        <w:pStyle w:val="Titre2"/>
      </w:pPr>
      <w:r>
        <w:t>La partie « </w:t>
      </w:r>
      <w:r w:rsidR="008B7099">
        <w:t>prévention</w:t>
      </w:r>
      <w:r>
        <w:t> »</w:t>
      </w:r>
      <w:r w:rsidR="008363A8">
        <w:t xml:space="preserve"> </w:t>
      </w:r>
    </w:p>
    <w:p w14:paraId="6A3A387B" w14:textId="77777777" w:rsidR="00E4189A" w:rsidRDefault="00E546C8" w:rsidP="00966CB0">
      <w:pPr>
        <w:pStyle w:val="Titre3"/>
      </w:pPr>
      <w:r>
        <w:t>Description du dispositif</w:t>
      </w:r>
    </w:p>
    <w:p w14:paraId="4ABC86FB" w14:textId="72DC4D26" w:rsidR="007F622E" w:rsidRDefault="00C37E5F" w:rsidP="009162D6">
      <w:pPr>
        <w:jc w:val="both"/>
      </w:pPr>
      <w:r>
        <w:t>Les incitatifs prévention</w:t>
      </w:r>
      <w:r w:rsidR="008B7099">
        <w:t xml:space="preserve"> repose</w:t>
      </w:r>
      <w:r>
        <w:t>nt</w:t>
      </w:r>
      <w:r w:rsidR="008B7099">
        <w:t xml:space="preserve"> sur </w:t>
      </w:r>
      <w:r>
        <w:t xml:space="preserve">des </w:t>
      </w:r>
      <w:r w:rsidR="008B7099">
        <w:t xml:space="preserve">indicateurs </w:t>
      </w:r>
      <w:r>
        <w:t xml:space="preserve">de santé publique et de prévention </w:t>
      </w:r>
      <w:r w:rsidR="008B7099">
        <w:t xml:space="preserve">calculés </w:t>
      </w:r>
      <w:r w:rsidR="00E546C8">
        <w:t xml:space="preserve">pour </w:t>
      </w:r>
      <w:r w:rsidR="00946CF9">
        <w:t>chaque</w:t>
      </w:r>
      <w:r w:rsidR="00E546C8">
        <w:t xml:space="preserve"> patient </w:t>
      </w:r>
      <w:r>
        <w:t>pour lesque</w:t>
      </w:r>
      <w:r w:rsidR="00946CF9">
        <w:t>l</w:t>
      </w:r>
      <w:r w:rsidR="00CE4583">
        <w:t>s</w:t>
      </w:r>
      <w:r w:rsidR="00946CF9">
        <w:t xml:space="preserve"> </w:t>
      </w:r>
      <w:r>
        <w:t xml:space="preserve">le </w:t>
      </w:r>
      <w:r w:rsidR="008A1075">
        <w:t>médecin</w:t>
      </w:r>
      <w:r>
        <w:t xml:space="preserve"> est déclaré médecin traitant.</w:t>
      </w:r>
      <w:r w:rsidR="008B7099">
        <w:t xml:space="preserve"> </w:t>
      </w:r>
      <w:r w:rsidR="00E546C8">
        <w:t>Une rémunération</w:t>
      </w:r>
      <w:r>
        <w:t>, calculée à partir des données disponibles dans les bases de l’Assurance Maladie,</w:t>
      </w:r>
      <w:r w:rsidR="00E546C8">
        <w:t xml:space="preserve"> est versée au médecin </w:t>
      </w:r>
      <w:r>
        <w:t>dès lors qu</w:t>
      </w:r>
      <w:r w:rsidR="007D0137">
        <w:t xml:space="preserve">’un </w:t>
      </w:r>
      <w:r>
        <w:t xml:space="preserve">indicateur </w:t>
      </w:r>
      <w:r w:rsidR="007D0137">
        <w:t>est</w:t>
      </w:r>
      <w:r>
        <w:t xml:space="preserve"> </w:t>
      </w:r>
      <w:r w:rsidR="007D0137">
        <w:t xml:space="preserve">validé pour un patient </w:t>
      </w:r>
      <w:r w:rsidR="00A5298D">
        <w:t xml:space="preserve">(quel que soit le professionnel de santé qui aura réalisé </w:t>
      </w:r>
      <w:r w:rsidR="00946CF9">
        <w:t>l’</w:t>
      </w:r>
      <w:r w:rsidR="00A5298D">
        <w:t>action</w:t>
      </w:r>
      <w:r w:rsidR="00946CF9">
        <w:t xml:space="preserve"> permettant </w:t>
      </w:r>
      <w:r w:rsidR="007D0137">
        <w:t xml:space="preserve">de valider </w:t>
      </w:r>
      <w:r w:rsidR="00946CF9">
        <w:t>de l’indicateur</w:t>
      </w:r>
      <w:r w:rsidR="00A5298D">
        <w:t>)</w:t>
      </w:r>
      <w:r>
        <w:t xml:space="preserve">. Cette rémunération </w:t>
      </w:r>
      <w:r w:rsidR="00946CF9">
        <w:t>vise à</w:t>
      </w:r>
      <w:r>
        <w:t xml:space="preserve"> </w:t>
      </w:r>
      <w:r w:rsidR="00E546C8">
        <w:t xml:space="preserve">valoriser </w:t>
      </w:r>
      <w:r w:rsidR="007D0137">
        <w:t xml:space="preserve">le suivi et la coordination des </w:t>
      </w:r>
      <w:r w:rsidR="00E546C8">
        <w:t>action</w:t>
      </w:r>
      <w:r w:rsidR="007D0137">
        <w:t>s</w:t>
      </w:r>
      <w:r w:rsidR="00E546C8">
        <w:t xml:space="preserve"> de prévention </w:t>
      </w:r>
      <w:r w:rsidR="00946CF9">
        <w:t xml:space="preserve">du médecin </w:t>
      </w:r>
      <w:r w:rsidR="00E4189A">
        <w:t>auprès de sa patientèle.</w:t>
      </w:r>
    </w:p>
    <w:p w14:paraId="53059192" w14:textId="35E41A3F" w:rsidR="00E11528" w:rsidRDefault="00E11528" w:rsidP="009162D6">
      <w:pPr>
        <w:jc w:val="both"/>
      </w:pPr>
      <w:r>
        <w:t xml:space="preserve">Les indicateurs portent sur les actions de prévention telles que la vaccination, les dépistages, et le suivi de populations spécifiques ou de patients atteints de maladies chroniques. </w:t>
      </w:r>
    </w:p>
    <w:p w14:paraId="1C940938" w14:textId="69A3FA6E" w:rsidR="007F622E" w:rsidRDefault="00946CF9" w:rsidP="009162D6">
      <w:pPr>
        <w:jc w:val="both"/>
      </w:pPr>
      <w:r>
        <w:t>Ils</w:t>
      </w:r>
      <w:r w:rsidR="007F622E">
        <w:t xml:space="preserve"> repose</w:t>
      </w:r>
      <w:r w:rsidR="00E11528">
        <w:t>nt</w:t>
      </w:r>
      <w:r w:rsidR="007F622E">
        <w:t xml:space="preserve"> sur </w:t>
      </w:r>
      <w:r w:rsidR="00E11528">
        <w:t xml:space="preserve">les </w:t>
      </w:r>
      <w:r w:rsidR="007F622E">
        <w:t xml:space="preserve">principes </w:t>
      </w:r>
      <w:r w:rsidR="00E11528">
        <w:t>suivants </w:t>
      </w:r>
      <w:r w:rsidR="007F622E">
        <w:t>:</w:t>
      </w:r>
    </w:p>
    <w:p w14:paraId="76326103" w14:textId="77777777" w:rsidR="008A1075" w:rsidRPr="008A1075" w:rsidRDefault="008A1075" w:rsidP="009162D6">
      <w:pPr>
        <w:numPr>
          <w:ilvl w:val="0"/>
          <w:numId w:val="4"/>
        </w:numPr>
        <w:jc w:val="both"/>
      </w:pPr>
      <w:r w:rsidRPr="00733473">
        <w:rPr>
          <w:u w:val="single"/>
        </w:rPr>
        <w:t>Pertinence</w:t>
      </w:r>
      <w:r>
        <w:t> : les indicateurs retenus constituent une priorité de santé publique</w:t>
      </w:r>
      <w:r w:rsidR="00C37E5F">
        <w:t xml:space="preserve"> et font l’objet de recommandations scientifiques</w:t>
      </w:r>
      <w:r>
        <w:t> ;</w:t>
      </w:r>
    </w:p>
    <w:p w14:paraId="14C0EE1D" w14:textId="062E8355" w:rsidR="00F51469" w:rsidRDefault="008A1075" w:rsidP="00F51469">
      <w:pPr>
        <w:numPr>
          <w:ilvl w:val="0"/>
          <w:numId w:val="4"/>
        </w:numPr>
        <w:jc w:val="both"/>
      </w:pPr>
      <w:r w:rsidRPr="00733473">
        <w:rPr>
          <w:bCs/>
          <w:u w:val="single"/>
        </w:rPr>
        <w:t>Mesurabilité et transparence</w:t>
      </w:r>
      <w:r w:rsidR="00022551" w:rsidRPr="008A1075">
        <w:t xml:space="preserve"> : chaque indicateur </w:t>
      </w:r>
      <w:r w:rsidR="00946CF9">
        <w:t xml:space="preserve">ainsi que la méthodologie de mesure sont </w:t>
      </w:r>
      <w:r w:rsidR="00E11528">
        <w:t>défini</w:t>
      </w:r>
      <w:r w:rsidR="00946CF9">
        <w:t>s</w:t>
      </w:r>
      <w:r w:rsidR="00E11528">
        <w:t xml:space="preserve"> conjointement </w:t>
      </w:r>
      <w:r w:rsidR="000C1FAC">
        <w:t>par les partenaires conventionnels</w:t>
      </w:r>
      <w:r>
        <w:t>,</w:t>
      </w:r>
      <w:r w:rsidR="00E11528">
        <w:t xml:space="preserve"> et sont décrits en annexe XX</w:t>
      </w:r>
      <w:r w:rsidR="007D0137">
        <w:t xml:space="preserve"> </w:t>
      </w:r>
      <w:r>
        <w:t>;</w:t>
      </w:r>
    </w:p>
    <w:p w14:paraId="0BD95E97" w14:textId="026BF293" w:rsidR="00C37E5F" w:rsidRPr="007264E0" w:rsidRDefault="00C37E5F" w:rsidP="00F51469">
      <w:pPr>
        <w:jc w:val="both"/>
      </w:pPr>
      <w:r w:rsidRPr="007264E0">
        <w:rPr>
          <w:bCs/>
        </w:rPr>
        <w:t>Les partenaires conventionnels s’engagent</w:t>
      </w:r>
      <w:r w:rsidR="00946CF9">
        <w:rPr>
          <w:bCs/>
        </w:rPr>
        <w:t xml:space="preserve"> </w:t>
      </w:r>
      <w:r w:rsidRPr="007264E0">
        <w:rPr>
          <w:bCs/>
        </w:rPr>
        <w:t>à restituer au médecin</w:t>
      </w:r>
      <w:r w:rsidR="00946CF9">
        <w:rPr>
          <w:bCs/>
        </w:rPr>
        <w:t>,</w:t>
      </w:r>
      <w:r w:rsidRPr="007264E0">
        <w:rPr>
          <w:bCs/>
        </w:rPr>
        <w:t xml:space="preserve"> </w:t>
      </w:r>
      <w:r w:rsidR="00946CF9">
        <w:rPr>
          <w:bCs/>
        </w:rPr>
        <w:t>pour</w:t>
      </w:r>
      <w:r w:rsidR="00946CF9" w:rsidRPr="007264E0">
        <w:rPr>
          <w:bCs/>
        </w:rPr>
        <w:t xml:space="preserve"> </w:t>
      </w:r>
      <w:r w:rsidRPr="007264E0">
        <w:rPr>
          <w:bCs/>
        </w:rPr>
        <w:t>chacun de ses patients</w:t>
      </w:r>
      <w:r w:rsidR="00946CF9">
        <w:rPr>
          <w:bCs/>
        </w:rPr>
        <w:t xml:space="preserve">, </w:t>
      </w:r>
      <w:r w:rsidR="00AF4AF2">
        <w:rPr>
          <w:bCs/>
        </w:rPr>
        <w:t xml:space="preserve">l’éligibilité et </w:t>
      </w:r>
      <w:r w:rsidR="00946CF9">
        <w:rPr>
          <w:bCs/>
        </w:rPr>
        <w:t>l’atteinte de l’indicateur afin de lui apporter la lisibilité nécess</w:t>
      </w:r>
      <w:r w:rsidR="00723D16">
        <w:rPr>
          <w:bCs/>
        </w:rPr>
        <w:t>aire à son action de prévention globale</w:t>
      </w:r>
      <w:r w:rsidRPr="007264E0">
        <w:rPr>
          <w:bCs/>
        </w:rPr>
        <w:t xml:space="preserve">. </w:t>
      </w:r>
    </w:p>
    <w:p w14:paraId="1DF0F224" w14:textId="77777777" w:rsidR="007F622E" w:rsidRDefault="008A1075" w:rsidP="0034032D">
      <w:pPr>
        <w:pStyle w:val="Titre3"/>
      </w:pPr>
      <w:r>
        <w:t>Les indicateurs</w:t>
      </w:r>
      <w:r w:rsidR="00E4189A">
        <w:t xml:space="preserve"> de prévention</w:t>
      </w:r>
    </w:p>
    <w:p w14:paraId="3F86197B" w14:textId="77777777" w:rsidR="00C37E5F" w:rsidRDefault="008A1075" w:rsidP="0034032D">
      <w:pPr>
        <w:pStyle w:val="Titre4"/>
      </w:pPr>
      <w:r>
        <w:t>Modalité de calcul des indicateurs</w:t>
      </w:r>
    </w:p>
    <w:p w14:paraId="240BF6E9" w14:textId="77777777" w:rsidR="007F622E" w:rsidRDefault="008A1075" w:rsidP="009162D6">
      <w:pPr>
        <w:jc w:val="both"/>
      </w:pPr>
      <w:r>
        <w:t xml:space="preserve">Le calcul de </w:t>
      </w:r>
      <w:r w:rsidR="00733473">
        <w:t xml:space="preserve">chaque indicateur </w:t>
      </w:r>
      <w:r w:rsidR="0036387E">
        <w:t>est effectué comme suit</w:t>
      </w:r>
      <w:r>
        <w:t> :</w:t>
      </w:r>
    </w:p>
    <w:p w14:paraId="7A0C166B" w14:textId="3971D36B" w:rsidR="008A1075" w:rsidRDefault="008A1075" w:rsidP="009162D6">
      <w:pPr>
        <w:pStyle w:val="Paragraphedeliste"/>
        <w:numPr>
          <w:ilvl w:val="0"/>
          <w:numId w:val="5"/>
        </w:numPr>
        <w:jc w:val="both"/>
      </w:pPr>
      <w:r w:rsidRPr="00733473">
        <w:rPr>
          <w:u w:val="single"/>
        </w:rPr>
        <w:t>Ciblage des patients éligibles à l’indicateur</w:t>
      </w:r>
      <w:r>
        <w:t>: ce ciblage peut reposer sur l’âge du patient</w:t>
      </w:r>
      <w:r w:rsidR="00733473">
        <w:t>, la présence d’une ou plusieurs ALD, et</w:t>
      </w:r>
      <w:r w:rsidR="0015240F">
        <w:t>/ou</w:t>
      </w:r>
      <w:r w:rsidR="00733473">
        <w:t xml:space="preserve"> l</w:t>
      </w:r>
      <w:r w:rsidR="000C1FAC">
        <w:t>eur recours aux soins</w:t>
      </w:r>
      <w:r w:rsidR="00963791">
        <w:t>.</w:t>
      </w:r>
    </w:p>
    <w:p w14:paraId="3CC4F58A" w14:textId="6E441E4F" w:rsidR="00963791" w:rsidRDefault="00EC1B6B" w:rsidP="009162D6">
      <w:pPr>
        <w:pStyle w:val="Paragraphedeliste"/>
        <w:numPr>
          <w:ilvl w:val="0"/>
          <w:numId w:val="5"/>
        </w:numPr>
        <w:jc w:val="both"/>
      </w:pPr>
      <w:r>
        <w:rPr>
          <w:u w:val="single"/>
        </w:rPr>
        <w:t>Validation de l’indicateur</w:t>
      </w:r>
      <w:r w:rsidRPr="00733473">
        <w:rPr>
          <w:u w:val="single"/>
        </w:rPr>
        <w:t xml:space="preserve"> </w:t>
      </w:r>
      <w:r w:rsidR="00733473">
        <w:t xml:space="preserve">: pour chaque patient éligible, </w:t>
      </w:r>
      <w:r>
        <w:t xml:space="preserve">l’indicateur est considéré comme validé dès lors que les actes concernés ou </w:t>
      </w:r>
      <w:r w:rsidR="00723D16">
        <w:t xml:space="preserve">la </w:t>
      </w:r>
      <w:r>
        <w:t>délivrance</w:t>
      </w:r>
      <w:r w:rsidR="00723D16">
        <w:t xml:space="preserve"> d’un produit de santé</w:t>
      </w:r>
      <w:r>
        <w:t xml:space="preserve"> sont identifiés </w:t>
      </w:r>
      <w:r w:rsidR="00E4189A">
        <w:t xml:space="preserve">dans </w:t>
      </w:r>
      <w:r w:rsidR="00733473">
        <w:t>les bases de l’Assurance Maladie</w:t>
      </w:r>
      <w:r w:rsidR="00AF4AF2">
        <w:t xml:space="preserve"> sur la période de référence</w:t>
      </w:r>
      <w:r w:rsidR="00723D16">
        <w:t>.</w:t>
      </w:r>
      <w:r w:rsidR="00963791">
        <w:t xml:space="preserve"> </w:t>
      </w:r>
    </w:p>
    <w:p w14:paraId="5C93373F" w14:textId="77777777" w:rsidR="003553B1" w:rsidRDefault="00992155" w:rsidP="009162D6">
      <w:pPr>
        <w:jc w:val="both"/>
      </w:pPr>
      <w:r>
        <w:t xml:space="preserve">Les indicateurs sont calculés </w:t>
      </w:r>
      <w:r w:rsidRPr="00992155">
        <w:t xml:space="preserve">à partir des bases de remboursement de l’Assurance Maladie sur </w:t>
      </w:r>
      <w:r w:rsidR="00EC1B6B">
        <w:t>la</w:t>
      </w:r>
      <w:r>
        <w:t xml:space="preserve"> période de</w:t>
      </w:r>
      <w:r w:rsidRPr="00992155">
        <w:t xml:space="preserve"> référence et sur l’ensemble des régimes d’assurance maladie.</w:t>
      </w:r>
    </w:p>
    <w:p w14:paraId="16BB516B" w14:textId="54FD182D" w:rsidR="00950FCF" w:rsidRDefault="009162D6" w:rsidP="009162D6">
      <w:pPr>
        <w:jc w:val="both"/>
      </w:pPr>
      <w:r>
        <w:t>Les indicateurs retenus sont les suivants</w:t>
      </w:r>
      <w:r w:rsidR="00950FCF">
        <w:t xml:space="preserve"> : </w:t>
      </w:r>
    </w:p>
    <w:tbl>
      <w:tblPr>
        <w:tblStyle w:val="TableauGrille2-Accentuation5"/>
        <w:tblW w:w="10201" w:type="dxa"/>
        <w:tblLook w:val="04A0" w:firstRow="1" w:lastRow="0" w:firstColumn="1" w:lastColumn="0" w:noHBand="0" w:noVBand="1"/>
      </w:tblPr>
      <w:tblGrid>
        <w:gridCol w:w="1287"/>
        <w:gridCol w:w="2541"/>
        <w:gridCol w:w="6373"/>
      </w:tblGrid>
      <w:tr w:rsidR="007264E0" w14:paraId="491DC7DD" w14:textId="070A213F" w:rsidTr="0034032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tcPr>
          <w:p w14:paraId="2B2F2E12" w14:textId="77777777" w:rsidR="007264E0" w:rsidRPr="00FB0322" w:rsidRDefault="007264E0" w:rsidP="00FB0322">
            <w:pPr>
              <w:jc w:val="center"/>
              <w:rPr>
                <w:b w:val="0"/>
              </w:rPr>
            </w:pPr>
            <w:r w:rsidRPr="00FB0322">
              <w:t>Thème</w:t>
            </w:r>
          </w:p>
        </w:tc>
        <w:tc>
          <w:tcPr>
            <w:tcW w:w="2541" w:type="dxa"/>
          </w:tcPr>
          <w:p w14:paraId="4C0724DB" w14:textId="7F04EE1F" w:rsidR="007264E0" w:rsidRPr="00FB0322" w:rsidRDefault="007264E0" w:rsidP="00723D16">
            <w:pPr>
              <w:jc w:val="center"/>
              <w:cnfStyle w:val="100000000000" w:firstRow="1" w:lastRow="0" w:firstColumn="0" w:lastColumn="0" w:oddVBand="0" w:evenVBand="0" w:oddHBand="0" w:evenHBand="0" w:firstRowFirstColumn="0" w:firstRowLastColumn="0" w:lastRowFirstColumn="0" w:lastRowLastColumn="0"/>
              <w:rPr>
                <w:b w:val="0"/>
              </w:rPr>
            </w:pPr>
            <w:r w:rsidRPr="00FB0322">
              <w:t>Indicateur</w:t>
            </w:r>
          </w:p>
        </w:tc>
        <w:tc>
          <w:tcPr>
            <w:tcW w:w="6373" w:type="dxa"/>
          </w:tcPr>
          <w:p w14:paraId="2AAA1932" w14:textId="77777777" w:rsidR="007264E0" w:rsidRPr="00FB0322" w:rsidRDefault="007264E0" w:rsidP="00FB0322">
            <w:pPr>
              <w:jc w:val="center"/>
              <w:cnfStyle w:val="100000000000" w:firstRow="1" w:lastRow="0" w:firstColumn="0" w:lastColumn="0" w:oddVBand="0" w:evenVBand="0" w:oddHBand="0" w:evenHBand="0" w:firstRowFirstColumn="0" w:firstRowLastColumn="0" w:lastRowFirstColumn="0" w:lastRowLastColumn="0"/>
              <w:rPr>
                <w:b w:val="0"/>
              </w:rPr>
            </w:pPr>
          </w:p>
        </w:tc>
      </w:tr>
      <w:tr w:rsidR="007264E0" w14:paraId="58EC96DC" w14:textId="5A956C8D"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val="restart"/>
          </w:tcPr>
          <w:p w14:paraId="16894F1E" w14:textId="77777777" w:rsidR="007264E0" w:rsidRDefault="007264E0" w:rsidP="00FB0322">
            <w:pPr>
              <w:jc w:val="center"/>
            </w:pPr>
          </w:p>
          <w:p w14:paraId="2CACDF9B" w14:textId="77777777" w:rsidR="007264E0" w:rsidRDefault="007264E0" w:rsidP="00FB0322">
            <w:pPr>
              <w:jc w:val="center"/>
            </w:pPr>
          </w:p>
          <w:p w14:paraId="7F0B0F80" w14:textId="77777777" w:rsidR="007264E0" w:rsidRDefault="007264E0" w:rsidP="00FB0322">
            <w:pPr>
              <w:jc w:val="center"/>
            </w:pPr>
            <w:r>
              <w:t>Vaccination</w:t>
            </w:r>
          </w:p>
        </w:tc>
        <w:tc>
          <w:tcPr>
            <w:tcW w:w="2541" w:type="dxa"/>
          </w:tcPr>
          <w:p w14:paraId="665EABAA" w14:textId="77777777" w:rsidR="007264E0" w:rsidRDefault="007264E0" w:rsidP="009162D6">
            <w:pPr>
              <w:jc w:val="both"/>
              <w:cnfStyle w:val="000000100000" w:firstRow="0" w:lastRow="0" w:firstColumn="0" w:lastColumn="0" w:oddVBand="0" w:evenVBand="0" w:oddHBand="1" w:evenHBand="0" w:firstRowFirstColumn="0" w:firstRowLastColumn="0" w:lastRowFirstColumn="0" w:lastRowLastColumn="0"/>
            </w:pPr>
            <w:r>
              <w:t>Vaccination grippe</w:t>
            </w:r>
          </w:p>
        </w:tc>
        <w:tc>
          <w:tcPr>
            <w:tcW w:w="6373" w:type="dxa"/>
          </w:tcPr>
          <w:p w14:paraId="05567238" w14:textId="7B8EE6DA" w:rsidR="00F65FEA" w:rsidRDefault="00F65FEA" w:rsidP="00F65FEA">
            <w:pPr>
              <w:jc w:val="both"/>
              <w:cnfStyle w:val="000000100000" w:firstRow="0" w:lastRow="0" w:firstColumn="0" w:lastColumn="0" w:oddVBand="0" w:evenVBand="0" w:oddHBand="1" w:evenHBand="0" w:firstRowFirstColumn="0" w:firstRowLastColumn="0" w:lastRowFirstColumn="0" w:lastRowLastColumn="0"/>
            </w:pPr>
            <w:r w:rsidRPr="00F65FEA">
              <w:t>Parmi les personnes de 65 ans et plus ou ceux de 6 mois et plus soufrant de maladie chronique et à risque de grippe, l’indicateur est validé pour celles ayant reçu (délivrance en pharmacie ou administration du produit) au moins une dose de vaccin antigrippal lors de la campagne de vaccination en cours.</w:t>
            </w:r>
            <w:r>
              <w:t xml:space="preserve"> </w:t>
            </w:r>
            <w:r w:rsidRPr="00F65FEA">
              <w:t xml:space="preserve">Les campagnes de </w:t>
            </w:r>
            <w:r w:rsidRPr="00F65FEA">
              <w:lastRenderedPageBreak/>
              <w:t>l’hémisphère Nord et de l’hémisphère Sud sont concaténées pour couvrir une période de 1 an, allant du 1</w:t>
            </w:r>
            <w:r w:rsidRPr="00F65FEA">
              <w:rPr>
                <w:vertAlign w:val="superscript"/>
              </w:rPr>
              <w:t>er</w:t>
            </w:r>
            <w:r w:rsidRPr="00F65FEA">
              <w:t xml:space="preserve"> avril au 31 mars de l’année suivante.</w:t>
            </w:r>
          </w:p>
          <w:p w14:paraId="30960711" w14:textId="77777777" w:rsidR="00F65FEA" w:rsidRPr="00F65FEA" w:rsidRDefault="00F65FEA" w:rsidP="00F65FEA">
            <w:pPr>
              <w:jc w:val="both"/>
              <w:cnfStyle w:val="000000100000" w:firstRow="0" w:lastRow="0" w:firstColumn="0" w:lastColumn="0" w:oddVBand="0" w:evenVBand="0" w:oddHBand="1" w:evenHBand="0" w:firstRowFirstColumn="0" w:firstRowLastColumn="0" w:lastRowFirstColumn="0" w:lastRowLastColumn="0"/>
            </w:pPr>
          </w:p>
          <w:p w14:paraId="317251D0" w14:textId="24D34BDC" w:rsidR="007264E0" w:rsidRDefault="00F65FEA" w:rsidP="007264E0">
            <w:pPr>
              <w:jc w:val="both"/>
              <w:cnfStyle w:val="000000100000" w:firstRow="0" w:lastRow="0" w:firstColumn="0" w:lastColumn="0" w:oddVBand="0" w:evenVBand="0" w:oddHBand="1" w:evenHBand="0" w:firstRowFirstColumn="0" w:firstRowLastColumn="0" w:lastRowFirstColumn="0" w:lastRowLastColumn="0"/>
            </w:pPr>
            <w:r w:rsidRPr="00F65FEA">
              <w:rPr>
                <w:i/>
                <w:iCs/>
              </w:rPr>
              <w:t>Les personnes à risque de grippe sévère sont celles en ALD 1, 2, 5 à 10, 13 à 16, 18 à 22, 24, 25, 27, 28 et 30, ou celles ayant reçu 4 délivrances de médicaments bronchodilatateurs (classe ATC R03) dans les 12 derniers mois.</w:t>
            </w:r>
          </w:p>
        </w:tc>
      </w:tr>
      <w:tr w:rsidR="007264E0" w14:paraId="28B5A2BB" w14:textId="09B96452" w:rsidTr="0034032D">
        <w:tc>
          <w:tcPr>
            <w:cnfStyle w:val="001000000000" w:firstRow="0" w:lastRow="0" w:firstColumn="1" w:lastColumn="0" w:oddVBand="0" w:evenVBand="0" w:oddHBand="0" w:evenHBand="0" w:firstRowFirstColumn="0" w:firstRowLastColumn="0" w:lastRowFirstColumn="0" w:lastRowLastColumn="0"/>
            <w:tcW w:w="1287" w:type="dxa"/>
            <w:vMerge/>
          </w:tcPr>
          <w:p w14:paraId="07646AAA" w14:textId="77777777" w:rsidR="007264E0" w:rsidRDefault="007264E0" w:rsidP="009162D6">
            <w:pPr>
              <w:jc w:val="both"/>
            </w:pPr>
          </w:p>
        </w:tc>
        <w:tc>
          <w:tcPr>
            <w:tcW w:w="2541" w:type="dxa"/>
          </w:tcPr>
          <w:p w14:paraId="325CAF16" w14:textId="77777777" w:rsidR="007264E0" w:rsidRDefault="007264E0" w:rsidP="009162D6">
            <w:pPr>
              <w:jc w:val="both"/>
              <w:cnfStyle w:val="000000000000" w:firstRow="0" w:lastRow="0" w:firstColumn="0" w:lastColumn="0" w:oddVBand="0" w:evenVBand="0" w:oddHBand="0" w:evenHBand="0" w:firstRowFirstColumn="0" w:firstRowLastColumn="0" w:lastRowFirstColumn="0" w:lastRowLastColumn="0"/>
            </w:pPr>
            <w:r>
              <w:t>Vaccination covid</w:t>
            </w:r>
          </w:p>
        </w:tc>
        <w:tc>
          <w:tcPr>
            <w:tcW w:w="6373" w:type="dxa"/>
          </w:tcPr>
          <w:p w14:paraId="7D7BA47D" w14:textId="0310047D" w:rsidR="00F65FEA"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65FEA">
              <w:t>Parmi les personnes de 65 ans et plus ou ceux de 6 mois et plus soufrant de maladie chronique et à risque de covid sévère, l’indicateur est validé pour celles ayant reçu (administration du produit) au moins une dose de vaccin contre le covid lors de la c</w:t>
            </w:r>
            <w:r>
              <w:t>ampagne de vaccination en cours</w:t>
            </w:r>
            <w:r w:rsidRPr="00F65FEA">
              <w:t>. Les campagnes de l’hémisphère Nord et de l’hémisphère Sud sont concaténées pour couvrir une période de 1 an, allant du 1</w:t>
            </w:r>
            <w:r w:rsidRPr="00F65FEA">
              <w:rPr>
                <w:vertAlign w:val="superscript"/>
              </w:rPr>
              <w:t>er</w:t>
            </w:r>
            <w:r w:rsidRPr="00F65FEA">
              <w:t xml:space="preserve"> avril au 31 mars de l’année suivante.</w:t>
            </w:r>
          </w:p>
          <w:p w14:paraId="7228A08D" w14:textId="77777777" w:rsidR="00F65FEA" w:rsidRPr="00F65FEA" w:rsidRDefault="00F65FEA" w:rsidP="00F65FEA">
            <w:pPr>
              <w:jc w:val="both"/>
              <w:cnfStyle w:val="000000000000" w:firstRow="0" w:lastRow="0" w:firstColumn="0" w:lastColumn="0" w:oddVBand="0" w:evenVBand="0" w:oddHBand="0" w:evenHBand="0" w:firstRowFirstColumn="0" w:firstRowLastColumn="0" w:lastRowFirstColumn="0" w:lastRowLastColumn="0"/>
            </w:pPr>
          </w:p>
          <w:p w14:paraId="284A4368" w14:textId="0667D73E" w:rsidR="007264E0" w:rsidRDefault="00F65FEA" w:rsidP="007264E0">
            <w:pPr>
              <w:jc w:val="both"/>
              <w:cnfStyle w:val="000000000000" w:firstRow="0" w:lastRow="0" w:firstColumn="0" w:lastColumn="0" w:oddVBand="0" w:evenVBand="0" w:oddHBand="0" w:evenHBand="0" w:firstRowFirstColumn="0" w:firstRowLastColumn="0" w:lastRowFirstColumn="0" w:lastRowLastColumn="0"/>
            </w:pPr>
            <w:r w:rsidRPr="00F65FEA">
              <w:rPr>
                <w:i/>
                <w:iCs/>
              </w:rPr>
              <w:t>Les personnes à risque de covid sévère sont celles en ALD 1, 2, 5 à 10, 13 à 16, 18 à 22, 23 à 25, 27, 28 et 30, ou celles ayant reçu 4 délivrances de médicaments bronchodilatateurs (classe ATC R03) dans les 12 derniers mois.</w:t>
            </w:r>
          </w:p>
        </w:tc>
      </w:tr>
      <w:tr w:rsidR="007264E0" w14:paraId="20BED3F2" w14:textId="4408A74D"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5B309B33" w14:textId="77777777" w:rsidR="007264E0" w:rsidRDefault="007264E0" w:rsidP="009162D6">
            <w:pPr>
              <w:jc w:val="both"/>
            </w:pPr>
          </w:p>
        </w:tc>
        <w:tc>
          <w:tcPr>
            <w:tcW w:w="2541" w:type="dxa"/>
          </w:tcPr>
          <w:p w14:paraId="72BEE75D" w14:textId="77777777" w:rsidR="007264E0" w:rsidRDefault="007264E0" w:rsidP="009162D6">
            <w:pPr>
              <w:jc w:val="both"/>
              <w:cnfStyle w:val="000000100000" w:firstRow="0" w:lastRow="0" w:firstColumn="0" w:lastColumn="0" w:oddVBand="0" w:evenVBand="0" w:oddHBand="1" w:evenHBand="0" w:firstRowFirstColumn="0" w:firstRowLastColumn="0" w:lastRowFirstColumn="0" w:lastRowLastColumn="0"/>
            </w:pPr>
            <w:r>
              <w:t>Vaccination pneumocoque</w:t>
            </w:r>
          </w:p>
        </w:tc>
        <w:tc>
          <w:tcPr>
            <w:tcW w:w="6373" w:type="dxa"/>
          </w:tcPr>
          <w:p w14:paraId="76ADD23F" w14:textId="1177A0F6" w:rsidR="00F65FEA" w:rsidRDefault="00F65FEA" w:rsidP="00F65FEA">
            <w:pPr>
              <w:jc w:val="both"/>
              <w:cnfStyle w:val="000000100000" w:firstRow="0" w:lastRow="0" w:firstColumn="0" w:lastColumn="0" w:oddVBand="0" w:evenVBand="0" w:oddHBand="1" w:evenHBand="0" w:firstRowFirstColumn="0" w:firstRowLastColumn="0" w:lastRowFirstColumn="0" w:lastRowLastColumn="0"/>
            </w:pPr>
            <w:r w:rsidRPr="00F65FEA">
              <w:t>Parmi les personnes de 18 ans et plus soufrant de maladie chronique et à risque d’infection sévère à pneumocoque, l’indicateur est validé pour celles ayant reçu (délivrance en pharmacie) au moins une dose de vaccin conjugué 20-valent contre le pneumocoque (VPC20) depuis son inscription au remboursement (07/03/2024).</w:t>
            </w:r>
          </w:p>
          <w:p w14:paraId="6831BDB0" w14:textId="77777777" w:rsidR="00F65FEA" w:rsidRPr="00F65FEA" w:rsidRDefault="00F65FEA" w:rsidP="00F65FEA">
            <w:pPr>
              <w:jc w:val="both"/>
              <w:cnfStyle w:val="000000100000" w:firstRow="0" w:lastRow="0" w:firstColumn="0" w:lastColumn="0" w:oddVBand="0" w:evenVBand="0" w:oddHBand="1" w:evenHBand="0" w:firstRowFirstColumn="0" w:firstRowLastColumn="0" w:lastRowFirstColumn="0" w:lastRowLastColumn="0"/>
            </w:pPr>
          </w:p>
          <w:p w14:paraId="1B07097F" w14:textId="5B8152FB" w:rsidR="007264E0" w:rsidRDefault="00F65FEA" w:rsidP="00F65FEA">
            <w:pPr>
              <w:jc w:val="both"/>
              <w:cnfStyle w:val="000000100000" w:firstRow="0" w:lastRow="0" w:firstColumn="0" w:lastColumn="0" w:oddVBand="0" w:evenVBand="0" w:oddHBand="1" w:evenHBand="0" w:firstRowFirstColumn="0" w:firstRowLastColumn="0" w:lastRowFirstColumn="0" w:lastRowLastColumn="0"/>
            </w:pPr>
            <w:r w:rsidRPr="00F65FEA">
              <w:rPr>
                <w:i/>
                <w:iCs/>
              </w:rPr>
              <w:t>Les personnes à risque d’infection sévère à pneumocoque sont celles en ALD 2, 5 à 9, 14, 19, 21, 22, 24, 25, 27, 28 et 30, ou celles ayant reçu 4 délivrances de médicaments bronchodilatateurs (classe ATC R03) dans les 12 derniers mois.</w:t>
            </w:r>
          </w:p>
        </w:tc>
      </w:tr>
      <w:tr w:rsidR="007264E0" w14:paraId="27C52160" w14:textId="7803FC6A" w:rsidTr="0034032D">
        <w:tc>
          <w:tcPr>
            <w:cnfStyle w:val="001000000000" w:firstRow="0" w:lastRow="0" w:firstColumn="1" w:lastColumn="0" w:oddVBand="0" w:evenVBand="0" w:oddHBand="0" w:evenHBand="0" w:firstRowFirstColumn="0" w:firstRowLastColumn="0" w:lastRowFirstColumn="0" w:lastRowLastColumn="0"/>
            <w:tcW w:w="1287" w:type="dxa"/>
            <w:vMerge/>
          </w:tcPr>
          <w:p w14:paraId="53D5B9D0" w14:textId="77777777" w:rsidR="007264E0" w:rsidRDefault="007264E0" w:rsidP="009162D6">
            <w:pPr>
              <w:jc w:val="both"/>
            </w:pPr>
          </w:p>
        </w:tc>
        <w:tc>
          <w:tcPr>
            <w:tcW w:w="2541" w:type="dxa"/>
          </w:tcPr>
          <w:p w14:paraId="494644AB" w14:textId="77777777" w:rsidR="007264E0" w:rsidRDefault="007264E0" w:rsidP="009162D6">
            <w:pPr>
              <w:jc w:val="both"/>
              <w:cnfStyle w:val="000000000000" w:firstRow="0" w:lastRow="0" w:firstColumn="0" w:lastColumn="0" w:oddVBand="0" w:evenVBand="0" w:oddHBand="0" w:evenHBand="0" w:firstRowFirstColumn="0" w:firstRowLastColumn="0" w:lastRowFirstColumn="0" w:lastRowLastColumn="0"/>
            </w:pPr>
            <w:r>
              <w:t>Vaccination ROR</w:t>
            </w:r>
          </w:p>
        </w:tc>
        <w:tc>
          <w:tcPr>
            <w:tcW w:w="6373" w:type="dxa"/>
          </w:tcPr>
          <w:p w14:paraId="4BF75FF3" w14:textId="1AA59CCB" w:rsidR="007264E0" w:rsidRDefault="00F65FEA" w:rsidP="00AF4AF2">
            <w:pPr>
              <w:jc w:val="both"/>
              <w:cnfStyle w:val="000000000000" w:firstRow="0" w:lastRow="0" w:firstColumn="0" w:lastColumn="0" w:oddVBand="0" w:evenVBand="0" w:oddHBand="0" w:evenHBand="0" w:firstRowFirstColumn="0" w:firstRowLastColumn="0" w:lastRowFirstColumn="0" w:lastRowLastColumn="0"/>
            </w:pPr>
            <w:r w:rsidRPr="00F65FEA">
              <w:t xml:space="preserve">Parmi les enfants de 16 à 29 mois inclus (&lt; 30 mois), l’indicateur est validé pour ceux ayant reçu (délivrance en pharmacie ou administration du produit) au moins deux doses de vaccin ROR </w:t>
            </w:r>
            <w:r w:rsidR="003639E8" w:rsidRPr="003639E8">
              <w:t>entre 11 et 18 mois inclus.</w:t>
            </w:r>
          </w:p>
        </w:tc>
      </w:tr>
      <w:tr w:rsidR="007264E0" w14:paraId="689CAF57" w14:textId="6C28C76A"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509E1DC4" w14:textId="77777777" w:rsidR="007264E0" w:rsidRDefault="007264E0" w:rsidP="009162D6">
            <w:pPr>
              <w:jc w:val="both"/>
            </w:pPr>
          </w:p>
        </w:tc>
        <w:tc>
          <w:tcPr>
            <w:tcW w:w="2541" w:type="dxa"/>
          </w:tcPr>
          <w:p w14:paraId="5CE8C364" w14:textId="77777777" w:rsidR="007264E0" w:rsidRDefault="007264E0" w:rsidP="009162D6">
            <w:pPr>
              <w:jc w:val="both"/>
              <w:cnfStyle w:val="000000100000" w:firstRow="0" w:lastRow="0" w:firstColumn="0" w:lastColumn="0" w:oddVBand="0" w:evenVBand="0" w:oddHBand="1" w:evenHBand="0" w:firstRowFirstColumn="0" w:firstRowLastColumn="0" w:lastRowFirstColumn="0" w:lastRowLastColumn="0"/>
            </w:pPr>
            <w:r>
              <w:t>Vaccination méningocoque C</w:t>
            </w:r>
          </w:p>
        </w:tc>
        <w:tc>
          <w:tcPr>
            <w:tcW w:w="6373" w:type="dxa"/>
          </w:tcPr>
          <w:p w14:paraId="73771B0D" w14:textId="7EF4982D" w:rsidR="007264E0" w:rsidRDefault="00F65FEA" w:rsidP="00AF4AF2">
            <w:pPr>
              <w:cnfStyle w:val="000000100000" w:firstRow="0" w:lastRow="0" w:firstColumn="0" w:lastColumn="0" w:oddVBand="0" w:evenVBand="0" w:oddHBand="1" w:evenHBand="0" w:firstRowFirstColumn="0" w:firstRowLastColumn="0" w:lastRowFirstColumn="0" w:lastRowLastColumn="0"/>
            </w:pPr>
            <w:r w:rsidRPr="00F65FEA">
              <w:t>Parmi les enfants de 5 à 23 mois inclus (&lt; 24 mois), l’indicateur est validé pour ceu</w:t>
            </w:r>
            <w:bookmarkStart w:id="0" w:name="_GoBack"/>
            <w:bookmarkEnd w:id="0"/>
            <w:r w:rsidRPr="00F65FEA">
              <w:t xml:space="preserve">x ayant reçu (délivrance en pharmacie) au moins une dose de vaccin contre le méningocoque C </w:t>
            </w:r>
            <w:r w:rsidR="003639E8" w:rsidRPr="003639E8">
              <w:t>entre 4 et 12 mois inclus.</w:t>
            </w:r>
          </w:p>
        </w:tc>
      </w:tr>
      <w:tr w:rsidR="007264E0" w14:paraId="669C4B51" w14:textId="3B55B124" w:rsidTr="0034032D">
        <w:tc>
          <w:tcPr>
            <w:cnfStyle w:val="001000000000" w:firstRow="0" w:lastRow="0" w:firstColumn="1" w:lastColumn="0" w:oddVBand="0" w:evenVBand="0" w:oddHBand="0" w:evenHBand="0" w:firstRowFirstColumn="0" w:firstRowLastColumn="0" w:lastRowFirstColumn="0" w:lastRowLastColumn="0"/>
            <w:tcW w:w="1287" w:type="dxa"/>
            <w:vMerge/>
          </w:tcPr>
          <w:p w14:paraId="5DFF788A" w14:textId="77777777" w:rsidR="007264E0" w:rsidRDefault="007264E0" w:rsidP="009162D6">
            <w:pPr>
              <w:jc w:val="both"/>
            </w:pPr>
          </w:p>
        </w:tc>
        <w:tc>
          <w:tcPr>
            <w:tcW w:w="2541" w:type="dxa"/>
          </w:tcPr>
          <w:p w14:paraId="2CC04177" w14:textId="77777777" w:rsidR="007264E0" w:rsidRDefault="007264E0" w:rsidP="009162D6">
            <w:pPr>
              <w:jc w:val="both"/>
              <w:cnfStyle w:val="000000000000" w:firstRow="0" w:lastRow="0" w:firstColumn="0" w:lastColumn="0" w:oddVBand="0" w:evenVBand="0" w:oddHBand="0" w:evenHBand="0" w:firstRowFirstColumn="0" w:firstRowLastColumn="0" w:lastRowFirstColumn="0" w:lastRowLastColumn="0"/>
            </w:pPr>
            <w:r>
              <w:t>Vaccination HPV</w:t>
            </w:r>
          </w:p>
        </w:tc>
        <w:tc>
          <w:tcPr>
            <w:tcW w:w="6373" w:type="dxa"/>
          </w:tcPr>
          <w:p w14:paraId="61798FD0" w14:textId="7406A4A5" w:rsidR="007264E0" w:rsidRDefault="00F65FEA" w:rsidP="00AF4AF2">
            <w:pPr>
              <w:jc w:val="both"/>
              <w:cnfStyle w:val="000000000000" w:firstRow="0" w:lastRow="0" w:firstColumn="0" w:lastColumn="0" w:oddVBand="0" w:evenVBand="0" w:oddHBand="0" w:evenHBand="0" w:firstRowFirstColumn="0" w:firstRowLastColumn="0" w:lastRowFirstColumn="0" w:lastRowLastColumn="0"/>
            </w:pPr>
            <w:r w:rsidRPr="00F65FEA">
              <w:t>Parmi les personnes de 11 à 15 ans inclus (&lt; 16 ans, l’indicateur est validé pour celles ayant reçu (délivrance en pharmacie) au moins deux doses de vaccin HPV entre 10 et 14 ans inclus (avant 15 ans).</w:t>
            </w:r>
          </w:p>
        </w:tc>
      </w:tr>
      <w:tr w:rsidR="007264E0" w14:paraId="1628FC9B" w14:textId="0F8F0152"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val="restart"/>
          </w:tcPr>
          <w:p w14:paraId="15026182" w14:textId="77777777" w:rsidR="007264E0" w:rsidRDefault="007264E0" w:rsidP="00FB0322">
            <w:pPr>
              <w:jc w:val="center"/>
            </w:pPr>
          </w:p>
          <w:p w14:paraId="17636E1A" w14:textId="77777777" w:rsidR="007264E0" w:rsidRDefault="007264E0" w:rsidP="00FB0322">
            <w:pPr>
              <w:jc w:val="center"/>
            </w:pPr>
          </w:p>
          <w:p w14:paraId="5C83A5EC" w14:textId="77777777" w:rsidR="007264E0" w:rsidRDefault="007264E0" w:rsidP="00FB0322">
            <w:pPr>
              <w:jc w:val="center"/>
            </w:pPr>
            <w:r>
              <w:t>Dépistage</w:t>
            </w:r>
          </w:p>
        </w:tc>
        <w:tc>
          <w:tcPr>
            <w:tcW w:w="2541" w:type="dxa"/>
          </w:tcPr>
          <w:p w14:paraId="41813DB4" w14:textId="77777777" w:rsidR="007264E0" w:rsidRDefault="007264E0" w:rsidP="00950FCF">
            <w:pPr>
              <w:jc w:val="both"/>
              <w:cnfStyle w:val="000000100000" w:firstRow="0" w:lastRow="0" w:firstColumn="0" w:lastColumn="0" w:oddVBand="0" w:evenVBand="0" w:oddHBand="1" w:evenHBand="0" w:firstRowFirstColumn="0" w:firstRowLastColumn="0" w:lastRowFirstColumn="0" w:lastRowLastColumn="0"/>
            </w:pPr>
            <w:r>
              <w:t>Dépistage du cancer du sein</w:t>
            </w:r>
          </w:p>
        </w:tc>
        <w:tc>
          <w:tcPr>
            <w:tcW w:w="6373" w:type="dxa"/>
          </w:tcPr>
          <w:p w14:paraId="7A54A1DC" w14:textId="762B35A1" w:rsidR="00F65FEA" w:rsidRDefault="00F65FEA" w:rsidP="00F65FEA">
            <w:pPr>
              <w:jc w:val="both"/>
              <w:cnfStyle w:val="000000100000" w:firstRow="0" w:lastRow="0" w:firstColumn="0" w:lastColumn="0" w:oddVBand="0" w:evenVBand="0" w:oddHBand="1" w:evenHBand="0" w:firstRowFirstColumn="0" w:firstRowLastColumn="0" w:lastRowFirstColumn="0" w:lastRowLastColumn="0"/>
            </w:pPr>
            <w:r w:rsidRPr="0034032D">
              <w:t>Parmi les femmes de 50 à 74 ans inclus (&lt; 75 ans) et à risque moyen de développer un cancer du sein, l’indicateur est validé pour celles ayant bénéficié d’un dépistage du cancer du sein par mammographie de dépistage depuis 2 ans ou moins, ou par mammographie bilatérale classique depuis 1 an ou moins.</w:t>
            </w:r>
          </w:p>
          <w:p w14:paraId="482551F9" w14:textId="4C15CBCA" w:rsidR="00F65FEA" w:rsidRPr="0034032D" w:rsidRDefault="00F65FEA" w:rsidP="00F65FEA">
            <w:pPr>
              <w:jc w:val="both"/>
              <w:cnfStyle w:val="000000100000" w:firstRow="0" w:lastRow="0" w:firstColumn="0" w:lastColumn="0" w:oddVBand="0" w:evenVBand="0" w:oddHBand="1" w:evenHBand="0" w:firstRowFirstColumn="0" w:firstRowLastColumn="0" w:lastRowFirstColumn="0" w:lastRowLastColumn="0"/>
            </w:pPr>
          </w:p>
          <w:p w14:paraId="1BD2774D" w14:textId="77777777" w:rsidR="00F65FEA" w:rsidRPr="0034032D" w:rsidRDefault="00F65FEA" w:rsidP="00F65FEA">
            <w:pPr>
              <w:jc w:val="both"/>
              <w:cnfStyle w:val="000000100000" w:firstRow="0" w:lastRow="0" w:firstColumn="0" w:lastColumn="0" w:oddVBand="0" w:evenVBand="0" w:oddHBand="1" w:evenHBand="0" w:firstRowFirstColumn="0" w:firstRowLastColumn="0" w:lastRowFirstColumn="0" w:lastRowLastColumn="0"/>
            </w:pPr>
            <w:r w:rsidRPr="0034032D">
              <w:rPr>
                <w:i/>
                <w:iCs/>
              </w:rPr>
              <w:t>Sont exclues des personnes à risque moyen de développer un cancer du sein celles qui :</w:t>
            </w:r>
          </w:p>
          <w:p w14:paraId="74377A8B" w14:textId="77777777" w:rsidR="00630CE8" w:rsidRPr="0034032D" w:rsidRDefault="00F41911" w:rsidP="00F65FEA">
            <w:pPr>
              <w:numPr>
                <w:ilvl w:val="0"/>
                <w:numId w:val="13"/>
              </w:numPr>
              <w:jc w:val="both"/>
              <w:cnfStyle w:val="000000100000" w:firstRow="0" w:lastRow="0" w:firstColumn="0" w:lastColumn="0" w:oddVBand="0" w:evenVBand="0" w:oddHBand="1" w:evenHBand="0" w:firstRowFirstColumn="0" w:firstRowLastColumn="0" w:lastRowFirstColumn="0" w:lastRowLastColumn="0"/>
            </w:pPr>
            <w:r w:rsidRPr="0034032D">
              <w:rPr>
                <w:i/>
                <w:iCs/>
              </w:rPr>
              <w:t>N’ont plus l’organe en question (antécédent de mastectomie totale bilatérale)</w:t>
            </w:r>
          </w:p>
          <w:p w14:paraId="0F6521D5" w14:textId="77777777" w:rsidR="00630CE8" w:rsidRPr="0034032D" w:rsidRDefault="00F41911" w:rsidP="00F65FEA">
            <w:pPr>
              <w:numPr>
                <w:ilvl w:val="0"/>
                <w:numId w:val="13"/>
              </w:numPr>
              <w:jc w:val="both"/>
              <w:cnfStyle w:val="000000100000" w:firstRow="0" w:lastRow="0" w:firstColumn="0" w:lastColumn="0" w:oddVBand="0" w:evenVBand="0" w:oddHBand="1" w:evenHBand="0" w:firstRowFirstColumn="0" w:firstRowLastColumn="0" w:lastRowFirstColumn="0" w:lastRowLastColumn="0"/>
            </w:pPr>
            <w:r w:rsidRPr="0034032D">
              <w:rPr>
                <w:i/>
                <w:iCs/>
              </w:rPr>
              <w:lastRenderedPageBreak/>
              <w:t>Ont un antécédent de cancer de l’organe (cancer du sein, carcinome canalaire in situ)</w:t>
            </w:r>
          </w:p>
          <w:p w14:paraId="35CF9B42" w14:textId="77777777" w:rsidR="00630CE8" w:rsidRPr="0034032D" w:rsidRDefault="00F41911" w:rsidP="00F65FEA">
            <w:pPr>
              <w:numPr>
                <w:ilvl w:val="0"/>
                <w:numId w:val="13"/>
              </w:numPr>
              <w:jc w:val="both"/>
              <w:cnfStyle w:val="000000100000" w:firstRow="0" w:lastRow="0" w:firstColumn="0" w:lastColumn="0" w:oddVBand="0" w:evenVBand="0" w:oddHBand="1" w:evenHBand="0" w:firstRowFirstColumn="0" w:firstRowLastColumn="0" w:lastRowFirstColumn="0" w:lastRowLastColumn="0"/>
            </w:pPr>
            <w:r w:rsidRPr="0034032D">
              <w:rPr>
                <w:i/>
                <w:iCs/>
              </w:rPr>
              <w:t>Ont un autre motif d’exclusion : Mutation BRCA 1 ou 2 ; Hyperplasie atypique ou carcinome lobulaire in situ depuis 10 ans ou mois</w:t>
            </w:r>
          </w:p>
          <w:p w14:paraId="7C3269B2" w14:textId="1F22C528" w:rsidR="007264E0" w:rsidRPr="0034032D" w:rsidRDefault="00F41911" w:rsidP="00F45D74">
            <w:pPr>
              <w:numPr>
                <w:ilvl w:val="0"/>
                <w:numId w:val="13"/>
              </w:numPr>
              <w:jc w:val="both"/>
              <w:cnfStyle w:val="000000100000" w:firstRow="0" w:lastRow="0" w:firstColumn="0" w:lastColumn="0" w:oddVBand="0" w:evenVBand="0" w:oddHBand="1" w:evenHBand="0" w:firstRowFirstColumn="0" w:firstRowLastColumn="0" w:lastRowFirstColumn="0" w:lastRowLastColumn="0"/>
            </w:pPr>
            <w:r w:rsidRPr="0034032D">
              <w:rPr>
                <w:i/>
                <w:iCs/>
              </w:rPr>
              <w:t>Ont rapporté à l’Assurance Maladie un autre motif de non-éligibilité ou leur souhait de ne pas participer à ce dépistage organisé</w:t>
            </w:r>
          </w:p>
        </w:tc>
      </w:tr>
      <w:tr w:rsidR="00020709" w14:paraId="0326D1C5" w14:textId="350DD9BC" w:rsidTr="0034032D">
        <w:tc>
          <w:tcPr>
            <w:cnfStyle w:val="001000000000" w:firstRow="0" w:lastRow="0" w:firstColumn="1" w:lastColumn="0" w:oddVBand="0" w:evenVBand="0" w:oddHBand="0" w:evenHBand="0" w:firstRowFirstColumn="0" w:firstRowLastColumn="0" w:lastRowFirstColumn="0" w:lastRowLastColumn="0"/>
            <w:tcW w:w="1287" w:type="dxa"/>
            <w:vMerge/>
          </w:tcPr>
          <w:p w14:paraId="3D6F9476" w14:textId="77777777" w:rsidR="00020709" w:rsidRDefault="00020709" w:rsidP="00020709">
            <w:pPr>
              <w:jc w:val="both"/>
            </w:pPr>
          </w:p>
        </w:tc>
        <w:tc>
          <w:tcPr>
            <w:tcW w:w="2541" w:type="dxa"/>
          </w:tcPr>
          <w:p w14:paraId="7C9F37A6" w14:textId="77777777" w:rsidR="00020709" w:rsidRDefault="00020709" w:rsidP="00020709">
            <w:pPr>
              <w:jc w:val="both"/>
              <w:cnfStyle w:val="000000000000" w:firstRow="0" w:lastRow="0" w:firstColumn="0" w:lastColumn="0" w:oddVBand="0" w:evenVBand="0" w:oddHBand="0" w:evenHBand="0" w:firstRowFirstColumn="0" w:firstRowLastColumn="0" w:lastRowFirstColumn="0" w:lastRowLastColumn="0"/>
            </w:pPr>
            <w:r>
              <w:t>Dépistage du cancer du col de l’utérus</w:t>
            </w:r>
          </w:p>
        </w:tc>
        <w:tc>
          <w:tcPr>
            <w:tcW w:w="6373" w:type="dxa"/>
          </w:tcPr>
          <w:p w14:paraId="00BF6567" w14:textId="05056BB8" w:rsidR="00F65FEA" w:rsidRPr="00F45D74"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45D74">
              <w:t xml:space="preserve">Parmi les femmes de 25 à 65 ans inclus (&lt; 66 ans) et à risque de développer un cancer du col de l’utérus, l’indicateur est validé pour celles ayant bénéficié d’un dépistage du cancer du col de l’utérus : </w:t>
            </w:r>
          </w:p>
          <w:p w14:paraId="49A1BF37" w14:textId="77777777" w:rsidR="00630CE8" w:rsidRPr="00F45D74" w:rsidRDefault="00F41911" w:rsidP="00F65FEA">
            <w:pPr>
              <w:numPr>
                <w:ilvl w:val="0"/>
                <w:numId w:val="14"/>
              </w:numPr>
              <w:jc w:val="both"/>
              <w:cnfStyle w:val="000000000000" w:firstRow="0" w:lastRow="0" w:firstColumn="0" w:lastColumn="0" w:oddVBand="0" w:evenVBand="0" w:oddHBand="0" w:evenHBand="0" w:firstRowFirstColumn="0" w:firstRowLastColumn="0" w:lastRowFirstColumn="0" w:lastRowLastColumn="0"/>
            </w:pPr>
            <w:r w:rsidRPr="00F45D74">
              <w:rPr>
                <w:u w:val="single"/>
              </w:rPr>
              <w:t>De 25 à 29 ans</w:t>
            </w:r>
            <w:r w:rsidRPr="00F45D74">
              <w:t xml:space="preserve"> : par analyse cytologique des cellules du col sur prélèvement cervico-utérin (deux analyses cytologiques* dont la dernière date de 3 ans ou moins, ou une analyse cytologique* depuis 1 an ou moins).</w:t>
            </w:r>
          </w:p>
          <w:p w14:paraId="5D316D8F" w14:textId="56E1A40D" w:rsidR="00630CE8" w:rsidRPr="00F65FEA" w:rsidRDefault="00F41911" w:rsidP="00F65FEA">
            <w:pPr>
              <w:numPr>
                <w:ilvl w:val="0"/>
                <w:numId w:val="14"/>
              </w:numPr>
              <w:jc w:val="both"/>
              <w:cnfStyle w:val="000000000000" w:firstRow="0" w:lastRow="0" w:firstColumn="0" w:lastColumn="0" w:oddVBand="0" w:evenVBand="0" w:oddHBand="0" w:evenHBand="0" w:firstRowFirstColumn="0" w:firstRowLastColumn="0" w:lastRowFirstColumn="0" w:lastRowLastColumn="0"/>
            </w:pPr>
            <w:r w:rsidRPr="00F45D74">
              <w:rPr>
                <w:u w:val="single"/>
              </w:rPr>
              <w:t>De 30 à 65 ans</w:t>
            </w:r>
            <w:r w:rsidRPr="00F45D74">
              <w:t xml:space="preserve"> : par test HPV-HR sur prélèvement cervico-utérin (un test HPV-HR** depuis 5 ans ou moins, ou deux analyses cytologiques* dont la dernière date de 3 ans ou moins, ou une analyse cytologique* depuis 1 an ou moins).</w:t>
            </w:r>
          </w:p>
          <w:p w14:paraId="295F7518" w14:textId="77777777" w:rsidR="00F65FEA" w:rsidRPr="0034032D" w:rsidRDefault="00F65FEA" w:rsidP="0034032D">
            <w:pPr>
              <w:jc w:val="both"/>
              <w:cnfStyle w:val="000000000000" w:firstRow="0" w:lastRow="0" w:firstColumn="0" w:lastColumn="0" w:oddVBand="0" w:evenVBand="0" w:oddHBand="0" w:evenHBand="0" w:firstRowFirstColumn="0" w:firstRowLastColumn="0" w:lastRowFirstColumn="0" w:lastRowLastColumn="0"/>
            </w:pPr>
          </w:p>
          <w:p w14:paraId="4C44DE51" w14:textId="77777777" w:rsidR="00F65FEA" w:rsidRPr="0034032D" w:rsidRDefault="00F65FEA" w:rsidP="00F65FEA">
            <w:pPr>
              <w:jc w:val="both"/>
              <w:cnfStyle w:val="000000000000" w:firstRow="0" w:lastRow="0" w:firstColumn="0" w:lastColumn="0" w:oddVBand="0" w:evenVBand="0" w:oddHBand="0" w:evenHBand="0" w:firstRowFirstColumn="0" w:firstRowLastColumn="0" w:lastRowFirstColumn="0" w:lastRowLastColumn="0"/>
            </w:pPr>
            <w:r w:rsidRPr="0034032D">
              <w:rPr>
                <w:i/>
                <w:iCs/>
              </w:rPr>
              <w:t>Sont exclues des personnes à risque moyen de développer un cancer du sein celles qui :</w:t>
            </w:r>
          </w:p>
          <w:p w14:paraId="09119B53" w14:textId="77777777" w:rsidR="00630CE8" w:rsidRPr="0034032D" w:rsidRDefault="00F41911" w:rsidP="00F65FEA">
            <w:pPr>
              <w:numPr>
                <w:ilvl w:val="0"/>
                <w:numId w:val="15"/>
              </w:numPr>
              <w:jc w:val="both"/>
              <w:cnfStyle w:val="000000000000" w:firstRow="0" w:lastRow="0" w:firstColumn="0" w:lastColumn="0" w:oddVBand="0" w:evenVBand="0" w:oddHBand="0" w:evenHBand="0" w:firstRowFirstColumn="0" w:firstRowLastColumn="0" w:lastRowFirstColumn="0" w:lastRowLastColumn="0"/>
            </w:pPr>
            <w:r w:rsidRPr="0034032D">
              <w:rPr>
                <w:i/>
                <w:iCs/>
              </w:rPr>
              <w:t>N’ont plus l’organe en question (antécédent de (colpo)hystérectomie totale ou de (colpo)trachélectomie)</w:t>
            </w:r>
          </w:p>
          <w:p w14:paraId="1ED8C0A7" w14:textId="77777777" w:rsidR="00F65FEA" w:rsidRPr="00F65FEA" w:rsidRDefault="00F41911" w:rsidP="0034032D">
            <w:pPr>
              <w:numPr>
                <w:ilvl w:val="0"/>
                <w:numId w:val="15"/>
              </w:numPr>
              <w:jc w:val="both"/>
              <w:cnfStyle w:val="000000000000" w:firstRow="0" w:lastRow="0" w:firstColumn="0" w:lastColumn="0" w:oddVBand="0" w:evenVBand="0" w:oddHBand="0" w:evenHBand="0" w:firstRowFirstColumn="0" w:firstRowLastColumn="0" w:lastRowFirstColumn="0" w:lastRowLastColumn="0"/>
            </w:pPr>
            <w:r w:rsidRPr="0034032D">
              <w:rPr>
                <w:i/>
                <w:iCs/>
              </w:rPr>
              <w:t>Ont un antécédent de cancer de l’organe (cancer du col ou du corps de l’utérus)</w:t>
            </w:r>
          </w:p>
          <w:p w14:paraId="1C0D53D2" w14:textId="77777777" w:rsidR="00F65FEA" w:rsidRPr="0034032D" w:rsidRDefault="00F41911" w:rsidP="0034032D">
            <w:pPr>
              <w:numPr>
                <w:ilvl w:val="0"/>
                <w:numId w:val="15"/>
              </w:numPr>
              <w:jc w:val="both"/>
              <w:cnfStyle w:val="000000000000" w:firstRow="0" w:lastRow="0" w:firstColumn="0" w:lastColumn="0" w:oddVBand="0" w:evenVBand="0" w:oddHBand="0" w:evenHBand="0" w:firstRowFirstColumn="0" w:firstRowLastColumn="0" w:lastRowFirstColumn="0" w:lastRowLastColumn="0"/>
            </w:pPr>
            <w:r w:rsidRPr="0034032D">
              <w:rPr>
                <w:i/>
                <w:iCs/>
              </w:rPr>
              <w:t>Ont rapporté à l’Assurance Maladie un autre motif de non-éligibilité ou leur souhait de ne pas participer à ce dépistage organisé</w:t>
            </w:r>
          </w:p>
          <w:p w14:paraId="146C6447" w14:textId="77777777" w:rsidR="00F65FEA" w:rsidRPr="00F65FEA" w:rsidRDefault="00F65FEA" w:rsidP="00F65FEA">
            <w:pPr>
              <w:jc w:val="both"/>
              <w:cnfStyle w:val="000000000000" w:firstRow="0" w:lastRow="0" w:firstColumn="0" w:lastColumn="0" w:oddVBand="0" w:evenVBand="0" w:oddHBand="0" w:evenHBand="0" w:firstRowFirstColumn="0" w:firstRowLastColumn="0" w:lastRowFirstColumn="0" w:lastRowLastColumn="0"/>
              <w:rPr>
                <w:i/>
                <w:iCs/>
              </w:rPr>
            </w:pPr>
          </w:p>
          <w:p w14:paraId="657E6D77" w14:textId="6BF3ABEF" w:rsidR="00F65FEA" w:rsidRDefault="00F65FEA" w:rsidP="00F65FEA">
            <w:pPr>
              <w:jc w:val="both"/>
              <w:cnfStyle w:val="000000000000" w:firstRow="0" w:lastRow="0" w:firstColumn="0" w:lastColumn="0" w:oddVBand="0" w:evenVBand="0" w:oddHBand="0" w:evenHBand="0" w:firstRowFirstColumn="0" w:firstRowLastColumn="0" w:lastRowFirstColumn="0" w:lastRowLastColumn="0"/>
            </w:pPr>
            <w:r w:rsidRPr="0034032D">
              <w:t>*Quel que soit l’âge de la femme, on ne tient compte que des analyses cytologiques réalisées entre 25 et 29 ans inclus (&lt; 30 ans).</w:t>
            </w:r>
          </w:p>
          <w:p w14:paraId="7E17D101" w14:textId="77777777" w:rsidR="006C32F6" w:rsidRPr="0034032D" w:rsidRDefault="006C32F6" w:rsidP="00F65FEA">
            <w:pPr>
              <w:jc w:val="both"/>
              <w:cnfStyle w:val="000000000000" w:firstRow="0" w:lastRow="0" w:firstColumn="0" w:lastColumn="0" w:oddVBand="0" w:evenVBand="0" w:oddHBand="0" w:evenHBand="0" w:firstRowFirstColumn="0" w:firstRowLastColumn="0" w:lastRowFirstColumn="0" w:lastRowLastColumn="0"/>
            </w:pPr>
          </w:p>
          <w:p w14:paraId="03F7F23E" w14:textId="77777777" w:rsidR="00F65FEA" w:rsidRPr="0034032D" w:rsidRDefault="00F65FEA" w:rsidP="00F65FEA">
            <w:pPr>
              <w:jc w:val="both"/>
              <w:cnfStyle w:val="000000000000" w:firstRow="0" w:lastRow="0" w:firstColumn="0" w:lastColumn="0" w:oddVBand="0" w:evenVBand="0" w:oddHBand="0" w:evenHBand="0" w:firstRowFirstColumn="0" w:firstRowLastColumn="0" w:lastRowFirstColumn="0" w:lastRowLastColumn="0"/>
            </w:pPr>
            <w:r w:rsidRPr="0034032D">
              <w:t>** Quel que soit l’âge de la femme, on ne tient compte que des tests HPV-HR réalisés entre 30 et 65 ans inclus (&lt; 66 ans).</w:t>
            </w:r>
          </w:p>
          <w:p w14:paraId="6F66D5BD" w14:textId="1AE80FCC" w:rsidR="00020709" w:rsidRPr="0034032D" w:rsidRDefault="00020709" w:rsidP="00F65FEA">
            <w:pPr>
              <w:jc w:val="both"/>
              <w:cnfStyle w:val="000000000000" w:firstRow="0" w:lastRow="0" w:firstColumn="0" w:lastColumn="0" w:oddVBand="0" w:evenVBand="0" w:oddHBand="0" w:evenHBand="0" w:firstRowFirstColumn="0" w:firstRowLastColumn="0" w:lastRowFirstColumn="0" w:lastRowLastColumn="0"/>
            </w:pPr>
          </w:p>
        </w:tc>
      </w:tr>
      <w:tr w:rsidR="00020709" w14:paraId="0718DBAC" w14:textId="5722A8B2"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034A2CCA" w14:textId="77777777" w:rsidR="00020709" w:rsidRDefault="00020709" w:rsidP="00020709">
            <w:pPr>
              <w:jc w:val="both"/>
            </w:pPr>
          </w:p>
        </w:tc>
        <w:tc>
          <w:tcPr>
            <w:tcW w:w="2541" w:type="dxa"/>
          </w:tcPr>
          <w:p w14:paraId="4FA4FA08" w14:textId="77777777" w:rsidR="00020709" w:rsidRDefault="00020709" w:rsidP="00020709">
            <w:pPr>
              <w:jc w:val="both"/>
              <w:cnfStyle w:val="000000100000" w:firstRow="0" w:lastRow="0" w:firstColumn="0" w:lastColumn="0" w:oddVBand="0" w:evenVBand="0" w:oddHBand="1" w:evenHBand="0" w:firstRowFirstColumn="0" w:firstRowLastColumn="0" w:lastRowFirstColumn="0" w:lastRowLastColumn="0"/>
            </w:pPr>
            <w:r>
              <w:t>Dépistage du cancer colorectal</w:t>
            </w:r>
          </w:p>
        </w:tc>
        <w:tc>
          <w:tcPr>
            <w:tcW w:w="6373" w:type="dxa"/>
          </w:tcPr>
          <w:p w14:paraId="2E70C0B8" w14:textId="2564F1AA" w:rsidR="00F65FEA" w:rsidRPr="0034032D" w:rsidRDefault="00F65FEA" w:rsidP="00F65FEA">
            <w:pPr>
              <w:jc w:val="both"/>
              <w:cnfStyle w:val="000000100000" w:firstRow="0" w:lastRow="0" w:firstColumn="0" w:lastColumn="0" w:oddVBand="0" w:evenVBand="0" w:oddHBand="1" w:evenHBand="0" w:firstRowFirstColumn="0" w:firstRowLastColumn="0" w:lastRowFirstColumn="0" w:lastRowLastColumn="0"/>
            </w:pPr>
            <w:r w:rsidRPr="0034032D">
              <w:t>Parmi les personnes de 50 à 74 ans inclus (&lt; 75 ans) et à risque moyen de développer un cancer colorectal, l’indicateur est validé pour celles ayant bénéficié d’un dépistage du cancer colorectal par test immunologique depuis 2 ans ou moins.</w:t>
            </w:r>
          </w:p>
          <w:p w14:paraId="4A45445E" w14:textId="77777777" w:rsidR="00F65FEA" w:rsidRPr="0034032D" w:rsidRDefault="00F65FEA" w:rsidP="00F65FEA">
            <w:pPr>
              <w:jc w:val="both"/>
              <w:cnfStyle w:val="000000100000" w:firstRow="0" w:lastRow="0" w:firstColumn="0" w:lastColumn="0" w:oddVBand="0" w:evenVBand="0" w:oddHBand="1" w:evenHBand="0" w:firstRowFirstColumn="0" w:firstRowLastColumn="0" w:lastRowFirstColumn="0" w:lastRowLastColumn="0"/>
            </w:pPr>
          </w:p>
          <w:p w14:paraId="369E0F03" w14:textId="77777777" w:rsidR="00F65FEA" w:rsidRPr="0034032D" w:rsidRDefault="00F65FEA" w:rsidP="00F65FEA">
            <w:pPr>
              <w:jc w:val="both"/>
              <w:cnfStyle w:val="000000100000" w:firstRow="0" w:lastRow="0" w:firstColumn="0" w:lastColumn="0" w:oddVBand="0" w:evenVBand="0" w:oddHBand="1" w:evenHBand="0" w:firstRowFirstColumn="0" w:firstRowLastColumn="0" w:lastRowFirstColumn="0" w:lastRowLastColumn="0"/>
            </w:pPr>
            <w:r w:rsidRPr="0034032D">
              <w:rPr>
                <w:i/>
                <w:iCs/>
              </w:rPr>
              <w:t>Sont exclues des personnes à risque moyen de développer un cancer colorectal celles qui :</w:t>
            </w:r>
          </w:p>
          <w:p w14:paraId="68B2BA75" w14:textId="77777777" w:rsidR="00630CE8" w:rsidRPr="0034032D" w:rsidRDefault="00F41911" w:rsidP="00F65FEA">
            <w:pPr>
              <w:numPr>
                <w:ilvl w:val="0"/>
                <w:numId w:val="12"/>
              </w:numPr>
              <w:jc w:val="both"/>
              <w:cnfStyle w:val="000000100000" w:firstRow="0" w:lastRow="0" w:firstColumn="0" w:lastColumn="0" w:oddVBand="0" w:evenVBand="0" w:oddHBand="1" w:evenHBand="0" w:firstRowFirstColumn="0" w:firstRowLastColumn="0" w:lastRowFirstColumn="0" w:lastRowLastColumn="0"/>
            </w:pPr>
            <w:r w:rsidRPr="0034032D">
              <w:rPr>
                <w:i/>
                <w:iCs/>
              </w:rPr>
              <w:t>N’ont plus l’organe en question (antécédent de coloproctectomie totale)</w:t>
            </w:r>
          </w:p>
          <w:p w14:paraId="2BA80893" w14:textId="316E1E22" w:rsidR="00630CE8" w:rsidRPr="0034032D" w:rsidRDefault="00F41911" w:rsidP="00F65FEA">
            <w:pPr>
              <w:numPr>
                <w:ilvl w:val="0"/>
                <w:numId w:val="12"/>
              </w:numPr>
              <w:jc w:val="both"/>
              <w:cnfStyle w:val="000000100000" w:firstRow="0" w:lastRow="0" w:firstColumn="0" w:lastColumn="0" w:oddVBand="0" w:evenVBand="0" w:oddHBand="1" w:evenHBand="0" w:firstRowFirstColumn="0" w:firstRowLastColumn="0" w:lastRowFirstColumn="0" w:lastRowLastColumn="0"/>
            </w:pPr>
            <w:r w:rsidRPr="0034032D">
              <w:rPr>
                <w:i/>
                <w:iCs/>
              </w:rPr>
              <w:t xml:space="preserve">Ont un antécédent de cancer de l’organe (cancer du </w:t>
            </w:r>
            <w:r w:rsidR="00F65FEA" w:rsidRPr="00F65FEA">
              <w:rPr>
                <w:i/>
                <w:iCs/>
              </w:rPr>
              <w:t>côlon</w:t>
            </w:r>
            <w:r w:rsidRPr="0034032D">
              <w:rPr>
                <w:i/>
                <w:iCs/>
              </w:rPr>
              <w:t>, du rectum, ou de la jonction recto-sigmoïdienne)</w:t>
            </w:r>
          </w:p>
          <w:p w14:paraId="024385C3" w14:textId="68CB6BB3" w:rsidR="00F65FEA" w:rsidRDefault="00F41911" w:rsidP="0034032D">
            <w:pPr>
              <w:numPr>
                <w:ilvl w:val="0"/>
                <w:numId w:val="12"/>
              </w:numPr>
              <w:jc w:val="both"/>
              <w:cnfStyle w:val="000000100000" w:firstRow="0" w:lastRow="0" w:firstColumn="0" w:lastColumn="0" w:oddVBand="0" w:evenVBand="0" w:oddHBand="1" w:evenHBand="0" w:firstRowFirstColumn="0" w:firstRowLastColumn="0" w:lastRowFirstColumn="0" w:lastRowLastColumn="0"/>
            </w:pPr>
            <w:r w:rsidRPr="0034032D">
              <w:rPr>
                <w:i/>
                <w:iCs/>
              </w:rPr>
              <w:t>Ont un autre motif d’exclusion : MICI (ALD ou antécédent de séjour ho</w:t>
            </w:r>
            <w:r w:rsidR="00F65FEA" w:rsidRPr="00F65FEA">
              <w:rPr>
                <w:i/>
                <w:iCs/>
              </w:rPr>
              <w:t>spitalier) ; Scannographie du c</w:t>
            </w:r>
            <w:r w:rsidR="00F65FEA">
              <w:rPr>
                <w:i/>
                <w:iCs/>
              </w:rPr>
              <w:t>ô</w:t>
            </w:r>
            <w:r w:rsidRPr="0034032D">
              <w:rPr>
                <w:i/>
                <w:iCs/>
              </w:rPr>
              <w:t>lon depuis 2 ans ou moins ; Coloscopie ou endoscopie du colon depuis 5 ans ou moins ; Exérèse d’un polype &gt; 1 cm ou de 4 polypes ou plus depuis 8 ans ou mois</w:t>
            </w:r>
          </w:p>
          <w:p w14:paraId="67AEAA60" w14:textId="1C8F77E2" w:rsidR="00020709" w:rsidRPr="0034032D" w:rsidRDefault="00F41911" w:rsidP="0034032D">
            <w:pPr>
              <w:numPr>
                <w:ilvl w:val="0"/>
                <w:numId w:val="12"/>
              </w:numPr>
              <w:jc w:val="both"/>
              <w:cnfStyle w:val="000000100000" w:firstRow="0" w:lastRow="0" w:firstColumn="0" w:lastColumn="0" w:oddVBand="0" w:evenVBand="0" w:oddHBand="1" w:evenHBand="0" w:firstRowFirstColumn="0" w:firstRowLastColumn="0" w:lastRowFirstColumn="0" w:lastRowLastColumn="0"/>
            </w:pPr>
            <w:r w:rsidRPr="0034032D">
              <w:rPr>
                <w:i/>
                <w:iCs/>
              </w:rPr>
              <w:lastRenderedPageBreak/>
              <w:t>On</w:t>
            </w:r>
            <w:r w:rsidR="00F65FEA">
              <w:rPr>
                <w:i/>
                <w:iCs/>
              </w:rPr>
              <w:t>t</w:t>
            </w:r>
            <w:r w:rsidR="00F65FEA" w:rsidRPr="00F65FEA">
              <w:rPr>
                <w:i/>
                <w:iCs/>
              </w:rPr>
              <w:t xml:space="preserve"> rapporté</w:t>
            </w:r>
            <w:r w:rsidRPr="0034032D">
              <w:rPr>
                <w:i/>
                <w:iCs/>
              </w:rPr>
              <w:t xml:space="preserve"> à l’Assurance Maladie un autre motif de non-éligibilité ou leur souhait de ne pas participer à ce dépistage organisé</w:t>
            </w:r>
          </w:p>
        </w:tc>
      </w:tr>
      <w:tr w:rsidR="00020709" w14:paraId="6F00FC26" w14:textId="32CB0C6D" w:rsidTr="0034032D">
        <w:tc>
          <w:tcPr>
            <w:cnfStyle w:val="001000000000" w:firstRow="0" w:lastRow="0" w:firstColumn="1" w:lastColumn="0" w:oddVBand="0" w:evenVBand="0" w:oddHBand="0" w:evenHBand="0" w:firstRowFirstColumn="0" w:firstRowLastColumn="0" w:lastRowFirstColumn="0" w:lastRowLastColumn="0"/>
            <w:tcW w:w="1287" w:type="dxa"/>
            <w:vMerge/>
          </w:tcPr>
          <w:p w14:paraId="5FB00E5A" w14:textId="77777777" w:rsidR="00020709" w:rsidRDefault="00020709" w:rsidP="00020709">
            <w:pPr>
              <w:jc w:val="both"/>
            </w:pPr>
          </w:p>
        </w:tc>
        <w:tc>
          <w:tcPr>
            <w:tcW w:w="2541" w:type="dxa"/>
          </w:tcPr>
          <w:p w14:paraId="00238DBB" w14:textId="77777777" w:rsidR="00020709" w:rsidRDefault="00020709" w:rsidP="00020709">
            <w:pPr>
              <w:jc w:val="both"/>
              <w:cnfStyle w:val="000000000000" w:firstRow="0" w:lastRow="0" w:firstColumn="0" w:lastColumn="0" w:oddVBand="0" w:evenVBand="0" w:oddHBand="0" w:evenHBand="0" w:firstRowFirstColumn="0" w:firstRowLastColumn="0" w:lastRowFirstColumn="0" w:lastRowLastColumn="0"/>
            </w:pPr>
            <w:r w:rsidRPr="00897056">
              <w:t>Dépistage du diabète par glycémie à jeun</w:t>
            </w:r>
          </w:p>
        </w:tc>
        <w:tc>
          <w:tcPr>
            <w:tcW w:w="6373" w:type="dxa"/>
          </w:tcPr>
          <w:p w14:paraId="61671F0A" w14:textId="48C7E18C" w:rsidR="00F65FEA"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65FEA">
              <w:t>Parmi les personnes de 45 ans et plus souffrant de maladie cardiovasculaire ou associée (MCVA), l’indicateur est validé pour celles ayant bénéficié d’un dépistage biologique du diabète par la glycémie à jeun depuis 3 ans ou moins.</w:t>
            </w:r>
          </w:p>
          <w:p w14:paraId="0702A7C9" w14:textId="77777777" w:rsidR="00F65FEA" w:rsidRPr="00F65FEA" w:rsidRDefault="00F65FEA" w:rsidP="00F65FEA">
            <w:pPr>
              <w:jc w:val="both"/>
              <w:cnfStyle w:val="000000000000" w:firstRow="0" w:lastRow="0" w:firstColumn="0" w:lastColumn="0" w:oddVBand="0" w:evenVBand="0" w:oddHBand="0" w:evenHBand="0" w:firstRowFirstColumn="0" w:firstRowLastColumn="0" w:lastRowFirstColumn="0" w:lastRowLastColumn="0"/>
            </w:pPr>
          </w:p>
          <w:p w14:paraId="32A88C7D" w14:textId="4F49A60E" w:rsidR="00020709" w:rsidRPr="00897056"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65FEA">
              <w:rPr>
                <w:i/>
                <w:iCs/>
              </w:rPr>
              <w:t>Les personnes souffrant de maladie cardiovasculaire ou associée (MCVA) sont celles en ALD 3, 5, 13 et 19.</w:t>
            </w:r>
          </w:p>
        </w:tc>
      </w:tr>
      <w:tr w:rsidR="00020709" w14:paraId="2607A12F" w14:textId="0722578D"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13D62702" w14:textId="77777777" w:rsidR="00020709" w:rsidRDefault="00020709" w:rsidP="00020709">
            <w:pPr>
              <w:jc w:val="both"/>
            </w:pPr>
          </w:p>
        </w:tc>
        <w:tc>
          <w:tcPr>
            <w:tcW w:w="2541" w:type="dxa"/>
          </w:tcPr>
          <w:p w14:paraId="19A33A7E" w14:textId="77777777" w:rsidR="00020709" w:rsidRDefault="00020709" w:rsidP="00020709">
            <w:pPr>
              <w:jc w:val="both"/>
              <w:cnfStyle w:val="000000100000" w:firstRow="0" w:lastRow="0" w:firstColumn="0" w:lastColumn="0" w:oddVBand="0" w:evenVBand="0" w:oddHBand="1" w:evenHBand="0" w:firstRowFirstColumn="0" w:firstRowLastColumn="0" w:lastRowFirstColumn="0" w:lastRowLastColumn="0"/>
            </w:pPr>
            <w:r w:rsidRPr="00897056">
              <w:t>Dép</w:t>
            </w:r>
            <w:r>
              <w:t xml:space="preserve">istage de la MRC </w:t>
            </w:r>
          </w:p>
        </w:tc>
        <w:tc>
          <w:tcPr>
            <w:tcW w:w="6373" w:type="dxa"/>
          </w:tcPr>
          <w:p w14:paraId="5A642E62" w14:textId="11624659" w:rsidR="00F65FEA" w:rsidRDefault="00F65FEA" w:rsidP="00F65FEA">
            <w:pPr>
              <w:jc w:val="both"/>
              <w:cnfStyle w:val="000000100000" w:firstRow="0" w:lastRow="0" w:firstColumn="0" w:lastColumn="0" w:oddVBand="0" w:evenVBand="0" w:oddHBand="1" w:evenHBand="0" w:firstRowFirstColumn="0" w:firstRowLastColumn="0" w:lastRowFirstColumn="0" w:lastRowLastColumn="0"/>
            </w:pPr>
            <w:r w:rsidRPr="00F65FEA">
              <w:t>Parmi les personnes de 18 ans et plus souffrant de maladie cardiovasculaire ou associée (MCVA) ou de maladie de système ou auto-immunes, l’indicateur est validé pour celles ayant bénéficié d’un dépistage biologique de la maladie rénale chronique par dosage sanguin de la créatin</w:t>
            </w:r>
            <w:r w:rsidR="006C32F6">
              <w:t>ine et un dosage d’albuminurie /</w:t>
            </w:r>
            <w:r w:rsidRPr="00F65FEA">
              <w:t xml:space="preserve"> créatininurie depuis 1 an ou moins.</w:t>
            </w:r>
          </w:p>
          <w:p w14:paraId="120F1D53" w14:textId="77777777" w:rsidR="00F65FEA" w:rsidRPr="00F65FEA" w:rsidRDefault="00F65FEA" w:rsidP="00F65FEA">
            <w:pPr>
              <w:jc w:val="both"/>
              <w:cnfStyle w:val="000000100000" w:firstRow="0" w:lastRow="0" w:firstColumn="0" w:lastColumn="0" w:oddVBand="0" w:evenVBand="0" w:oddHBand="1" w:evenHBand="0" w:firstRowFirstColumn="0" w:firstRowLastColumn="0" w:lastRowFirstColumn="0" w:lastRowLastColumn="0"/>
            </w:pPr>
          </w:p>
          <w:p w14:paraId="4B858248" w14:textId="75D1E08F" w:rsidR="00020709" w:rsidRPr="00897056" w:rsidRDefault="00F65FEA" w:rsidP="00F65FEA">
            <w:pPr>
              <w:jc w:val="both"/>
              <w:cnfStyle w:val="000000100000" w:firstRow="0" w:lastRow="0" w:firstColumn="0" w:lastColumn="0" w:oddVBand="0" w:evenVBand="0" w:oddHBand="1" w:evenHBand="0" w:firstRowFirstColumn="0" w:firstRowLastColumn="0" w:lastRowFirstColumn="0" w:lastRowLastColumn="0"/>
            </w:pPr>
            <w:r w:rsidRPr="00F65FEA">
              <w:rPr>
                <w:i/>
                <w:iCs/>
              </w:rPr>
              <w:t>Les personnes souffrant de maladie cardiovasculaire ou associée (MCVA) ou de maladie de système ou auto-immunes sont celles en ALD 3, 5, 8, 13, 21, 22, 24 et 27.</w:t>
            </w:r>
          </w:p>
        </w:tc>
      </w:tr>
      <w:tr w:rsidR="00020709" w14:paraId="2FFA7523" w14:textId="5BE3D7A0" w:rsidTr="0034032D">
        <w:tc>
          <w:tcPr>
            <w:cnfStyle w:val="001000000000" w:firstRow="0" w:lastRow="0" w:firstColumn="1" w:lastColumn="0" w:oddVBand="0" w:evenVBand="0" w:oddHBand="0" w:evenHBand="0" w:firstRowFirstColumn="0" w:firstRowLastColumn="0" w:lastRowFirstColumn="0" w:lastRowLastColumn="0"/>
            <w:tcW w:w="1287" w:type="dxa"/>
            <w:vMerge w:val="restart"/>
          </w:tcPr>
          <w:p w14:paraId="0DBF3E67" w14:textId="77777777" w:rsidR="00020709" w:rsidRDefault="00020709" w:rsidP="00020709">
            <w:pPr>
              <w:jc w:val="center"/>
            </w:pPr>
          </w:p>
          <w:p w14:paraId="7CC99CFA" w14:textId="77777777" w:rsidR="00020709" w:rsidRDefault="00020709" w:rsidP="00020709">
            <w:pPr>
              <w:jc w:val="center"/>
            </w:pPr>
            <w:r>
              <w:t>Suivi</w:t>
            </w:r>
          </w:p>
        </w:tc>
        <w:tc>
          <w:tcPr>
            <w:tcW w:w="2541" w:type="dxa"/>
          </w:tcPr>
          <w:p w14:paraId="5D981F6D" w14:textId="77777777" w:rsidR="00020709" w:rsidRDefault="00020709" w:rsidP="00020709">
            <w:pPr>
              <w:jc w:val="both"/>
              <w:cnfStyle w:val="000000000000" w:firstRow="0" w:lastRow="0" w:firstColumn="0" w:lastColumn="0" w:oddVBand="0" w:evenVBand="0" w:oddHBand="0" w:evenHBand="0" w:firstRowFirstColumn="0" w:firstRowLastColumn="0" w:lastRowFirstColumn="0" w:lastRowLastColumn="0"/>
            </w:pPr>
            <w:r>
              <w:t>Suivi du diabète par dosage de l’HbA1c</w:t>
            </w:r>
          </w:p>
        </w:tc>
        <w:tc>
          <w:tcPr>
            <w:tcW w:w="6373" w:type="dxa"/>
          </w:tcPr>
          <w:p w14:paraId="13793F1A" w14:textId="55F94DF1" w:rsidR="00F65FEA"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65FEA">
              <w:t>Parmi les personnes diabétiques, l’indicateur est validé pour celles ayant bénéficié d’un suivi biologique du diabète par dosage sanguin de l’hémoglobine glyquée (HbA1c) depuis 6 mois ou moins.</w:t>
            </w:r>
          </w:p>
          <w:p w14:paraId="4F9951BE" w14:textId="77777777" w:rsidR="00F65FEA" w:rsidRPr="00F65FEA" w:rsidRDefault="00F65FEA" w:rsidP="00F65FEA">
            <w:pPr>
              <w:jc w:val="both"/>
              <w:cnfStyle w:val="000000000000" w:firstRow="0" w:lastRow="0" w:firstColumn="0" w:lastColumn="0" w:oddVBand="0" w:evenVBand="0" w:oddHBand="0" w:evenHBand="0" w:firstRowFirstColumn="0" w:firstRowLastColumn="0" w:lastRowFirstColumn="0" w:lastRowLastColumn="0"/>
            </w:pPr>
          </w:p>
          <w:p w14:paraId="4ED3FC4D" w14:textId="03876B0F" w:rsidR="00020709" w:rsidRDefault="00F65FEA" w:rsidP="00F65FEA">
            <w:pPr>
              <w:jc w:val="both"/>
              <w:cnfStyle w:val="000000000000" w:firstRow="0" w:lastRow="0" w:firstColumn="0" w:lastColumn="0" w:oddVBand="0" w:evenVBand="0" w:oddHBand="0" w:evenHBand="0" w:firstRowFirstColumn="0" w:firstRowLastColumn="0" w:lastRowFirstColumn="0" w:lastRowLastColumn="0"/>
            </w:pPr>
            <w:r w:rsidRPr="00F65FEA">
              <w:rPr>
                <w:i/>
                <w:iCs/>
              </w:rPr>
              <w:t>Les personnes diabétiques sont celles en ALD 8 ou celles ayant reçu 2 délivrances de médicaments antidiabétiques (classe ATC A10) dans les 12 derniers mois.</w:t>
            </w:r>
          </w:p>
        </w:tc>
      </w:tr>
      <w:tr w:rsidR="00020709" w14:paraId="78843F16" w14:textId="3582F462"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366C7FB4" w14:textId="77777777" w:rsidR="00020709" w:rsidRDefault="00020709" w:rsidP="00020709">
            <w:pPr>
              <w:jc w:val="both"/>
            </w:pPr>
          </w:p>
        </w:tc>
        <w:tc>
          <w:tcPr>
            <w:tcW w:w="2541" w:type="dxa"/>
          </w:tcPr>
          <w:p w14:paraId="57EC6141" w14:textId="77777777" w:rsidR="009924E2" w:rsidRPr="009924E2" w:rsidRDefault="009924E2" w:rsidP="009924E2">
            <w:pPr>
              <w:jc w:val="both"/>
              <w:cnfStyle w:val="000000100000" w:firstRow="0" w:lastRow="0" w:firstColumn="0" w:lastColumn="0" w:oddVBand="0" w:evenVBand="0" w:oddHBand="1" w:evenHBand="0" w:firstRowFirstColumn="0" w:firstRowLastColumn="0" w:lastRowFirstColumn="0" w:lastRowLastColumn="0"/>
            </w:pPr>
            <w:r w:rsidRPr="009924E2">
              <w:rPr>
                <w:bCs/>
              </w:rPr>
              <w:t>Consultation obligatoire de l’enfant donnant lieu à un certificat de santé</w:t>
            </w:r>
          </w:p>
          <w:p w14:paraId="7B6BFADF" w14:textId="2A4E076C" w:rsidR="00020709" w:rsidRDefault="009924E2" w:rsidP="00020709">
            <w:pPr>
              <w:jc w:val="both"/>
              <w:cnfStyle w:val="000000100000" w:firstRow="0" w:lastRow="0" w:firstColumn="0" w:lastColumn="0" w:oddVBand="0" w:evenVBand="0" w:oddHBand="1" w:evenHBand="0" w:firstRowFirstColumn="0" w:firstRowLastColumn="0" w:lastRowFirstColumn="0" w:lastRowLastColumn="0"/>
            </w:pPr>
            <w:r>
              <w:t>M9</w:t>
            </w:r>
          </w:p>
        </w:tc>
        <w:tc>
          <w:tcPr>
            <w:tcW w:w="6373" w:type="dxa"/>
          </w:tcPr>
          <w:p w14:paraId="7BE62858" w14:textId="06DC1EA9" w:rsidR="00020709" w:rsidRDefault="00F65FEA" w:rsidP="00AF4AF2">
            <w:pPr>
              <w:jc w:val="both"/>
              <w:cnfStyle w:val="000000100000" w:firstRow="0" w:lastRow="0" w:firstColumn="0" w:lastColumn="0" w:oddVBand="0" w:evenVBand="0" w:oddHBand="1" w:evenHBand="0" w:firstRowFirstColumn="0" w:firstRowLastColumn="0" w:lastRowFirstColumn="0" w:lastRowLastColumn="0"/>
            </w:pPr>
            <w:r w:rsidRPr="00F65FEA">
              <w:t>Parmi les enfants de 8 à 21 mois inclus (&lt; 22 mois), l’indicateur est validé pour ceux ayant bénéficié d’une consultation obligatoire de l’enfant (code COE) auprès d’un médecin généraliste ou d’un pédiatre entre 8 et 10 mois inclus (avant 11 mois).</w:t>
            </w:r>
          </w:p>
        </w:tc>
      </w:tr>
      <w:tr w:rsidR="00020709" w14:paraId="5B611A9D" w14:textId="47A6A284" w:rsidTr="0034032D">
        <w:tc>
          <w:tcPr>
            <w:cnfStyle w:val="001000000000" w:firstRow="0" w:lastRow="0" w:firstColumn="1" w:lastColumn="0" w:oddVBand="0" w:evenVBand="0" w:oddHBand="0" w:evenHBand="0" w:firstRowFirstColumn="0" w:firstRowLastColumn="0" w:lastRowFirstColumn="0" w:lastRowLastColumn="0"/>
            <w:tcW w:w="1287" w:type="dxa"/>
            <w:vMerge/>
          </w:tcPr>
          <w:p w14:paraId="0475156C" w14:textId="77777777" w:rsidR="00020709" w:rsidRDefault="00020709" w:rsidP="00020709">
            <w:pPr>
              <w:jc w:val="both"/>
            </w:pPr>
          </w:p>
        </w:tc>
        <w:tc>
          <w:tcPr>
            <w:tcW w:w="2541" w:type="dxa"/>
          </w:tcPr>
          <w:p w14:paraId="4E8BA8FD" w14:textId="77777777" w:rsidR="009924E2" w:rsidRPr="009924E2" w:rsidRDefault="009924E2" w:rsidP="009924E2">
            <w:pPr>
              <w:jc w:val="both"/>
              <w:cnfStyle w:val="000000000000" w:firstRow="0" w:lastRow="0" w:firstColumn="0" w:lastColumn="0" w:oddVBand="0" w:evenVBand="0" w:oddHBand="0" w:evenHBand="0" w:firstRowFirstColumn="0" w:firstRowLastColumn="0" w:lastRowFirstColumn="0" w:lastRowLastColumn="0"/>
            </w:pPr>
            <w:r w:rsidRPr="009924E2">
              <w:rPr>
                <w:bCs/>
              </w:rPr>
              <w:t>Consultation obligatoire de l’enfant donnant lieu à un certificat de santé</w:t>
            </w:r>
          </w:p>
          <w:p w14:paraId="1AC38F67" w14:textId="5D2AD073" w:rsidR="00020709" w:rsidRDefault="00020709" w:rsidP="00020709">
            <w:pPr>
              <w:jc w:val="both"/>
              <w:cnfStyle w:val="000000000000" w:firstRow="0" w:lastRow="0" w:firstColumn="0" w:lastColumn="0" w:oddVBand="0" w:evenVBand="0" w:oddHBand="0" w:evenHBand="0" w:firstRowFirstColumn="0" w:firstRowLastColumn="0" w:lastRowFirstColumn="0" w:lastRowLastColumn="0"/>
            </w:pPr>
            <w:r>
              <w:t>M24</w:t>
            </w:r>
          </w:p>
        </w:tc>
        <w:tc>
          <w:tcPr>
            <w:tcW w:w="6373" w:type="dxa"/>
          </w:tcPr>
          <w:p w14:paraId="5EB5872E" w14:textId="56EA9181" w:rsidR="00020709" w:rsidRDefault="00F65FEA" w:rsidP="00AF4AF2">
            <w:pPr>
              <w:jc w:val="both"/>
              <w:cnfStyle w:val="000000000000" w:firstRow="0" w:lastRow="0" w:firstColumn="0" w:lastColumn="0" w:oddVBand="0" w:evenVBand="0" w:oddHBand="0" w:evenHBand="0" w:firstRowFirstColumn="0" w:firstRowLastColumn="0" w:lastRowFirstColumn="0" w:lastRowLastColumn="0"/>
            </w:pPr>
            <w:r w:rsidRPr="00F65FEA">
              <w:t>Parmi les enfants de 22 à 37 mois inclus (&lt; 38 mois), l’indicateur est validé pour ceux ayant bénéficié d’une consultation obligatoire de l’enfant (code COE) auprès d’un médecin généraliste ou d’un pédiatre entre 22 et 26 mois inclus (avant 27 mois).</w:t>
            </w:r>
          </w:p>
        </w:tc>
      </w:tr>
      <w:tr w:rsidR="00020709" w14:paraId="0FB44DDA" w14:textId="750FD8C2" w:rsidTr="0034032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87" w:type="dxa"/>
            <w:vMerge/>
          </w:tcPr>
          <w:p w14:paraId="3746DBB7" w14:textId="77777777" w:rsidR="00020709" w:rsidRDefault="00020709" w:rsidP="00020709">
            <w:pPr>
              <w:jc w:val="both"/>
            </w:pPr>
          </w:p>
        </w:tc>
        <w:tc>
          <w:tcPr>
            <w:tcW w:w="2541" w:type="dxa"/>
          </w:tcPr>
          <w:p w14:paraId="3467DDCA" w14:textId="77777777" w:rsidR="00020709" w:rsidRDefault="00020709" w:rsidP="00020709">
            <w:pPr>
              <w:jc w:val="both"/>
              <w:cnfStyle w:val="000000100000" w:firstRow="0" w:lastRow="0" w:firstColumn="0" w:lastColumn="0" w:oddVBand="0" w:evenVBand="0" w:oddHBand="1" w:evenHBand="0" w:firstRowFirstColumn="0" w:firstRowLastColumn="0" w:lastRowFirstColumn="0" w:lastRowLastColumn="0"/>
            </w:pPr>
            <w:r>
              <w:t>Examen bucco-dentaire annuel 3-24 ans</w:t>
            </w:r>
          </w:p>
        </w:tc>
        <w:tc>
          <w:tcPr>
            <w:tcW w:w="6373" w:type="dxa"/>
          </w:tcPr>
          <w:p w14:paraId="7BFB7DA3" w14:textId="09D92F4D" w:rsidR="00020709" w:rsidRDefault="00F65FEA" w:rsidP="00AF4AF2">
            <w:pPr>
              <w:jc w:val="both"/>
              <w:cnfStyle w:val="000000100000" w:firstRow="0" w:lastRow="0" w:firstColumn="0" w:lastColumn="0" w:oddVBand="0" w:evenVBand="0" w:oddHBand="1" w:evenHBand="0" w:firstRowFirstColumn="0" w:firstRowLastColumn="0" w:lastRowFirstColumn="0" w:lastRowLastColumn="0"/>
            </w:pPr>
            <w:r w:rsidRPr="00F65FEA">
              <w:t>Parmi les personnes de 3 à 24 ans inclus (moins de 25 ans), l’indicateur est validé pour celles ayant bénéficié d’un suivi bucco-dentaire auprès d’un chirurgien dentiste, chirurgien maxillo-facial, stomatologue ou chirurgien oral depuis 1 an ou moins.</w:t>
            </w:r>
          </w:p>
        </w:tc>
      </w:tr>
    </w:tbl>
    <w:p w14:paraId="67043258" w14:textId="77777777" w:rsidR="008363A8" w:rsidRDefault="008363A8" w:rsidP="0034032D">
      <w:pPr>
        <w:pStyle w:val="Titre4"/>
      </w:pPr>
      <w:r>
        <w:t>Modalités de calcul</w:t>
      </w:r>
      <w:r w:rsidR="002C58EA">
        <w:t xml:space="preserve"> de la rémunération</w:t>
      </w:r>
    </w:p>
    <w:p w14:paraId="1E344F72" w14:textId="43B9EEAF" w:rsidR="002F11DF" w:rsidRDefault="00C37E5F" w:rsidP="009162D6">
      <w:pPr>
        <w:jc w:val="both"/>
      </w:pPr>
      <w:r>
        <w:t>Cette rémunération</w:t>
      </w:r>
      <w:r w:rsidR="008363A8">
        <w:t xml:space="preserve"> est </w:t>
      </w:r>
      <w:r w:rsidR="009162D6">
        <w:t>calculé</w:t>
      </w:r>
      <w:r>
        <w:t>e</w:t>
      </w:r>
      <w:r w:rsidR="009162D6">
        <w:t xml:space="preserve"> </w:t>
      </w:r>
      <w:r w:rsidR="008363A8">
        <w:t xml:space="preserve">sur la base </w:t>
      </w:r>
      <w:r w:rsidR="00723D16">
        <w:t>des résultats de chaque</w:t>
      </w:r>
      <w:r w:rsidR="008363A8">
        <w:t xml:space="preserve"> </w:t>
      </w:r>
      <w:r w:rsidR="0034032D">
        <w:t>indicateur</w:t>
      </w:r>
      <w:r w:rsidR="008363A8">
        <w:t xml:space="preserve"> au 31/12 </w:t>
      </w:r>
      <w:r>
        <w:t>de l’année N</w:t>
      </w:r>
      <w:r w:rsidR="008363A8">
        <w:t xml:space="preserve">. </w:t>
      </w:r>
      <w:r w:rsidR="00723D16">
        <w:t>El</w:t>
      </w:r>
      <w:r w:rsidR="002757C9">
        <w:t>l</w:t>
      </w:r>
      <w:r w:rsidR="00723D16">
        <w:t xml:space="preserve">e </w:t>
      </w:r>
      <w:r>
        <w:t>est versée</w:t>
      </w:r>
      <w:r w:rsidR="008363A8">
        <w:t xml:space="preserve"> au</w:t>
      </w:r>
      <w:r w:rsidR="00140952">
        <w:t xml:space="preserve"> cours du</w:t>
      </w:r>
      <w:r w:rsidR="008363A8">
        <w:t xml:space="preserve"> 1</w:t>
      </w:r>
      <w:r w:rsidR="008363A8" w:rsidRPr="008363A8">
        <w:rPr>
          <w:vertAlign w:val="superscript"/>
        </w:rPr>
        <w:t>er</w:t>
      </w:r>
      <w:r w:rsidR="008363A8">
        <w:t xml:space="preserve"> semestre de l’année suivante</w:t>
      </w:r>
      <w:r>
        <w:t xml:space="preserve"> (N+1</w:t>
      </w:r>
      <w:r w:rsidR="00CD1E78">
        <w:t>)</w:t>
      </w:r>
    </w:p>
    <w:p w14:paraId="29856F70" w14:textId="697A316A" w:rsidR="002F11DF" w:rsidRDefault="00FE709B" w:rsidP="009162D6">
      <w:pPr>
        <w:jc w:val="both"/>
      </w:pPr>
      <w:r>
        <w:t>L</w:t>
      </w:r>
      <w:r w:rsidR="002F11DF">
        <w:t>e montant</w:t>
      </w:r>
      <w:r>
        <w:t xml:space="preserve"> de la rémunération par indicateur </w:t>
      </w:r>
      <w:r w:rsidR="00723D16">
        <w:t xml:space="preserve">et </w:t>
      </w:r>
      <w:r>
        <w:t>par patient</w:t>
      </w:r>
      <w:r w:rsidR="002F11DF">
        <w:t xml:space="preserve"> est fixé à </w:t>
      </w:r>
      <w:r w:rsidR="00211D4B">
        <w:t>5</w:t>
      </w:r>
      <w:r w:rsidR="002F11DF">
        <w:t xml:space="preserve"> euros.</w:t>
      </w:r>
    </w:p>
    <w:p w14:paraId="5EC0BEFC" w14:textId="77777777" w:rsidR="008363A8" w:rsidRDefault="00140952" w:rsidP="0034032D">
      <w:pPr>
        <w:pStyle w:val="Titre3"/>
      </w:pPr>
      <w:r>
        <w:t>Le suivi du dispositif</w:t>
      </w:r>
    </w:p>
    <w:p w14:paraId="236BADA7" w14:textId="77777777" w:rsidR="008363A8" w:rsidRDefault="008363A8" w:rsidP="009162D6">
      <w:pPr>
        <w:jc w:val="both"/>
      </w:pPr>
    </w:p>
    <w:p w14:paraId="74F1ACEB" w14:textId="77777777" w:rsidR="00211D4B" w:rsidRDefault="00211D4B" w:rsidP="0034032D">
      <w:pPr>
        <w:pStyle w:val="Titre4"/>
      </w:pPr>
      <w:r>
        <w:lastRenderedPageBreak/>
        <w:t>Le suivi et l’affichage des indicateurs</w:t>
      </w:r>
    </w:p>
    <w:p w14:paraId="7683979F" w14:textId="42A569EA" w:rsidR="000C1FAC" w:rsidRPr="008A1075" w:rsidRDefault="00E4189A" w:rsidP="00E4189A">
      <w:pPr>
        <w:jc w:val="both"/>
      </w:pPr>
      <w:r>
        <w:t>L</w:t>
      </w:r>
      <w:r w:rsidR="000C1FAC" w:rsidRPr="008A1075">
        <w:t xml:space="preserve">es indicateurs sont restitués </w:t>
      </w:r>
      <w:r w:rsidR="000C1FAC">
        <w:t xml:space="preserve">sur amelipro </w:t>
      </w:r>
      <w:r w:rsidR="000C1FAC" w:rsidRPr="008A1075">
        <w:t xml:space="preserve">sous forme d’un </w:t>
      </w:r>
      <w:r w:rsidR="000C1FAC" w:rsidRPr="008A1075">
        <w:rPr>
          <w:bCs/>
        </w:rPr>
        <w:t xml:space="preserve">tableau de bord </w:t>
      </w:r>
      <w:r w:rsidR="000C1FAC">
        <w:rPr>
          <w:bCs/>
        </w:rPr>
        <w:t>comportant la liste nominativ</w:t>
      </w:r>
      <w:r>
        <w:rPr>
          <w:bCs/>
        </w:rPr>
        <w:t xml:space="preserve">e des patients </w:t>
      </w:r>
      <w:r w:rsidR="00723D16">
        <w:rPr>
          <w:bCs/>
        </w:rPr>
        <w:t xml:space="preserve">déclarés auprès du </w:t>
      </w:r>
      <w:r>
        <w:rPr>
          <w:bCs/>
        </w:rPr>
        <w:t xml:space="preserve">médecin traitant et le </w:t>
      </w:r>
      <w:r w:rsidR="007D0137">
        <w:rPr>
          <w:bCs/>
        </w:rPr>
        <w:t xml:space="preserve">dernier statut </w:t>
      </w:r>
      <w:r>
        <w:rPr>
          <w:bCs/>
        </w:rPr>
        <w:t>de</w:t>
      </w:r>
      <w:r w:rsidR="007D0137">
        <w:rPr>
          <w:bCs/>
        </w:rPr>
        <w:t>s</w:t>
      </w:r>
      <w:r>
        <w:rPr>
          <w:bCs/>
        </w:rPr>
        <w:t xml:space="preserve"> indicateurs de prévention</w:t>
      </w:r>
      <w:r w:rsidR="007D0137">
        <w:rPr>
          <w:bCs/>
        </w:rPr>
        <w:t xml:space="preserve"> auxquels ils sont éligibles</w:t>
      </w:r>
      <w:r>
        <w:rPr>
          <w:bCs/>
        </w:rPr>
        <w:t>.</w:t>
      </w:r>
    </w:p>
    <w:p w14:paraId="7F926D7D" w14:textId="77777777" w:rsidR="00211D4B" w:rsidRDefault="00211D4B" w:rsidP="0034032D">
      <w:pPr>
        <w:pStyle w:val="Titre4"/>
      </w:pPr>
      <w:r>
        <w:t>Les modalités de suivi et révision du dispositif</w:t>
      </w:r>
    </w:p>
    <w:p w14:paraId="2F7F4C5F" w14:textId="77777777" w:rsidR="007F622E" w:rsidRDefault="00140952" w:rsidP="009162D6">
      <w:pPr>
        <w:jc w:val="both"/>
      </w:pPr>
      <w:r>
        <w:t>Les commissions paritaires nationale, régionales et locales assurent le suivi du dispositif.</w:t>
      </w:r>
    </w:p>
    <w:p w14:paraId="41A1AB02" w14:textId="281CD2C6" w:rsidR="00211D4B" w:rsidRDefault="00233C8E" w:rsidP="009162D6">
      <w:pPr>
        <w:jc w:val="both"/>
      </w:pPr>
      <w:r>
        <w:t xml:space="preserve">Les partenaires conventionnels </w:t>
      </w:r>
      <w:r w:rsidR="00FB40F6">
        <w:t>se donnent la possibilité de procéder à la révision des indicateurs au cours de la durée de la convention sans avoir besoin de recourir à un avenant à la présente convention. Les parties s’accordent sur la procédure suivante :</w:t>
      </w:r>
    </w:p>
    <w:p w14:paraId="722A450A" w14:textId="77777777" w:rsidR="00FB40F6" w:rsidRPr="00B24C25" w:rsidRDefault="00FB40F6" w:rsidP="007264E0">
      <w:pPr>
        <w:pStyle w:val="Corpsdetexte"/>
        <w:numPr>
          <w:ilvl w:val="0"/>
          <w:numId w:val="10"/>
        </w:numPr>
        <w:jc w:val="both"/>
      </w:pPr>
      <w:r w:rsidRPr="00B24C25">
        <w:t xml:space="preserve">Le Directeur Général de l’UNCAM peut proposer aux membres de la CPN de faire évoluer les paramètres d’un indicateur, de retirer un indicateur ou d’introduire un nouvel indicateur. </w:t>
      </w:r>
    </w:p>
    <w:p w14:paraId="5AA77E40" w14:textId="77777777" w:rsidR="00FB40F6" w:rsidRPr="00B24C25" w:rsidRDefault="00FB40F6" w:rsidP="007264E0">
      <w:pPr>
        <w:pStyle w:val="Corpsdetexte"/>
        <w:numPr>
          <w:ilvl w:val="0"/>
          <w:numId w:val="10"/>
        </w:numPr>
        <w:jc w:val="both"/>
      </w:pPr>
      <w:r w:rsidRPr="00B24C25">
        <w:t>Dans le cas où l’évolution des paramètres d’un indicateur est rendue nécessaire du fait de la modification de la recommandation ou de l’avis de la HAS ou de l’ANSM qui fonde l’indicateur, la CPN est obligatoirement saisie.</w:t>
      </w:r>
    </w:p>
    <w:p w14:paraId="66A3538F" w14:textId="25D215FC" w:rsidR="00FB40F6" w:rsidRPr="00B24C25" w:rsidRDefault="00FB40F6" w:rsidP="009162D6">
      <w:pPr>
        <w:pStyle w:val="Corpsdetexte"/>
        <w:jc w:val="both"/>
      </w:pPr>
      <w:r w:rsidRPr="00B24C25">
        <w:t xml:space="preserve">Toute décision d’évolution des paramètres d’un indicateur, de retrait d’un indicateur ou d’ajout d’un nouvel indicateur est prise par la CPN à la majorité des deux-tiers par dérogation aux dispositions de l’article </w:t>
      </w:r>
      <w:r>
        <w:t>XX</w:t>
      </w:r>
      <w:r w:rsidRPr="00B24C25">
        <w:t xml:space="preserve"> du règlement intérieur des commissions défini</w:t>
      </w:r>
      <w:r w:rsidR="007D0137">
        <w:t>es</w:t>
      </w:r>
      <w:r w:rsidR="00FB0322">
        <w:t xml:space="preserve"> </w:t>
      </w:r>
      <w:r w:rsidRPr="00B24C25">
        <w:t xml:space="preserve">à l’annexe </w:t>
      </w:r>
      <w:r>
        <w:t>XX</w:t>
      </w:r>
      <w:r w:rsidR="00950FCF">
        <w:t xml:space="preserve"> </w:t>
      </w:r>
      <w:r w:rsidRPr="00B24C25">
        <w:t>de la convention.</w:t>
      </w:r>
    </w:p>
    <w:p w14:paraId="2954F763" w14:textId="6D22CA4D" w:rsidR="007F622E" w:rsidRDefault="00FB40F6" w:rsidP="009162D6">
      <w:pPr>
        <w:jc w:val="both"/>
      </w:pPr>
      <w:r w:rsidRPr="00B24C25">
        <w:t xml:space="preserve">Les modifications ainsi adoptées par la CPN font l’objet d’une décision du Directeur Général de l’UNCAM, </w:t>
      </w:r>
      <w:r w:rsidR="0038668B">
        <w:t>publiée au Journal Officiel.</w:t>
      </w:r>
    </w:p>
    <w:p w14:paraId="6936B223" w14:textId="77777777" w:rsidR="00CD74CE" w:rsidRDefault="00CD74CE" w:rsidP="00CD74CE">
      <w:pPr>
        <w:spacing w:after="0"/>
        <w:jc w:val="both"/>
      </w:pPr>
      <w:r w:rsidRPr="001244F9">
        <w:rPr>
          <w:highlight w:val="yellow"/>
        </w:rPr>
        <w:t>Article XX</w:t>
      </w:r>
      <w:r>
        <w:t> : Entrée en vigueur du dispositif </w:t>
      </w:r>
    </w:p>
    <w:p w14:paraId="725CCFE3" w14:textId="77777777" w:rsidR="00CD74CE" w:rsidRDefault="00CD74CE" w:rsidP="00CD74CE">
      <w:pPr>
        <w:spacing w:after="0"/>
        <w:jc w:val="both"/>
      </w:pPr>
    </w:p>
    <w:p w14:paraId="6DA03C3C" w14:textId="080BEAEA" w:rsidR="00CD74CE" w:rsidRDefault="00CD74CE" w:rsidP="00CD74CE">
      <w:pPr>
        <w:autoSpaceDE w:val="0"/>
        <w:autoSpaceDN w:val="0"/>
        <w:adjustRightInd w:val="0"/>
        <w:spacing w:after="0" w:line="240" w:lineRule="auto"/>
      </w:pPr>
      <w:r>
        <w:t xml:space="preserve">Le dispositif précité entre en vigueur </w:t>
      </w:r>
      <w:r w:rsidRPr="001244F9">
        <w:t xml:space="preserve">à partir du </w:t>
      </w:r>
      <w:r w:rsidR="00147BA2">
        <w:t>XX</w:t>
      </w:r>
      <w:r w:rsidRPr="001244F9">
        <w:t xml:space="preserve">. </w:t>
      </w:r>
    </w:p>
    <w:p w14:paraId="3733C4E8" w14:textId="77777777" w:rsidR="00CD74CE" w:rsidRDefault="00CD74CE" w:rsidP="00CD74CE">
      <w:pPr>
        <w:autoSpaceDE w:val="0"/>
        <w:autoSpaceDN w:val="0"/>
        <w:adjustRightInd w:val="0"/>
        <w:spacing w:after="0" w:line="240" w:lineRule="auto"/>
      </w:pPr>
    </w:p>
    <w:p w14:paraId="5815BC8A" w14:textId="77777777" w:rsidR="00CD74CE" w:rsidRPr="005D401D" w:rsidRDefault="00CD74CE" w:rsidP="00CD74CE">
      <w:pPr>
        <w:autoSpaceDE w:val="0"/>
        <w:autoSpaceDN w:val="0"/>
        <w:adjustRightInd w:val="0"/>
        <w:spacing w:after="0" w:line="240" w:lineRule="auto"/>
        <w:jc w:val="both"/>
      </w:pPr>
      <w:r w:rsidRPr="001244F9">
        <w:t>A titre provisoire</w:t>
      </w:r>
      <w:r>
        <w:t>,</w:t>
      </w:r>
      <w:r w:rsidRPr="001244F9">
        <w:t xml:space="preserve"> les dispositions </w:t>
      </w:r>
      <w:r>
        <w:t>relatives à la rémunération sur objectifs de santé publique (ROSP) approuvée par arrêté du 20</w:t>
      </w:r>
      <w:r w:rsidRPr="001244F9">
        <w:t xml:space="preserve"> </w:t>
      </w:r>
      <w:r>
        <w:t xml:space="preserve">octobre 2016 sont maintenues selon </w:t>
      </w:r>
      <w:r w:rsidRPr="001244F9">
        <w:t xml:space="preserve">les modalités définies à </w:t>
      </w:r>
      <w:r w:rsidRPr="001244F9">
        <w:rPr>
          <w:highlight w:val="yellow"/>
        </w:rPr>
        <w:t>l’annexe XX</w:t>
      </w:r>
      <w:r>
        <w:t xml:space="preserve">. </w:t>
      </w:r>
    </w:p>
    <w:p w14:paraId="21AE552F" w14:textId="77777777" w:rsidR="00CD74CE" w:rsidRDefault="00CD74CE" w:rsidP="009162D6">
      <w:pPr>
        <w:jc w:val="both"/>
      </w:pPr>
    </w:p>
    <w:sectPr w:rsidR="00CD74CE">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F325D4" w14:textId="77777777" w:rsidR="00EA72C8" w:rsidRDefault="00EA72C8" w:rsidP="008B7099">
      <w:pPr>
        <w:spacing w:after="0" w:line="240" w:lineRule="auto"/>
      </w:pPr>
      <w:r>
        <w:separator/>
      </w:r>
    </w:p>
  </w:endnote>
  <w:endnote w:type="continuationSeparator" w:id="0">
    <w:p w14:paraId="22AC7FD2" w14:textId="77777777" w:rsidR="00EA72C8" w:rsidRDefault="00EA72C8" w:rsidP="008B70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A327D7" w14:textId="77777777" w:rsidR="00A26FE6" w:rsidRDefault="00A26FE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9943690"/>
      <w:docPartObj>
        <w:docPartGallery w:val="Page Numbers (Bottom of Page)"/>
        <w:docPartUnique/>
      </w:docPartObj>
    </w:sdtPr>
    <w:sdtEndPr/>
    <w:sdtContent>
      <w:p w14:paraId="154CFD1F" w14:textId="7849FB58" w:rsidR="008B7099" w:rsidRDefault="008B7099">
        <w:pPr>
          <w:pStyle w:val="Pieddepage"/>
          <w:jc w:val="center"/>
        </w:pPr>
        <w:r>
          <w:fldChar w:fldCharType="begin"/>
        </w:r>
        <w:r>
          <w:instrText>PAGE   \* MERGEFORMAT</w:instrText>
        </w:r>
        <w:r>
          <w:fldChar w:fldCharType="separate"/>
        </w:r>
        <w:r w:rsidR="00A26FE6">
          <w:rPr>
            <w:noProof/>
          </w:rPr>
          <w:t>1</w:t>
        </w:r>
        <w:r>
          <w:fldChar w:fldCharType="end"/>
        </w:r>
      </w:p>
    </w:sdtContent>
  </w:sdt>
  <w:p w14:paraId="45975B96" w14:textId="77777777" w:rsidR="008B7099" w:rsidRDefault="008B7099">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6DE182" w14:textId="77777777" w:rsidR="00A26FE6" w:rsidRDefault="00A26FE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63E59E" w14:textId="77777777" w:rsidR="00EA72C8" w:rsidRDefault="00EA72C8" w:rsidP="008B7099">
      <w:pPr>
        <w:spacing w:after="0" w:line="240" w:lineRule="auto"/>
      </w:pPr>
      <w:r>
        <w:separator/>
      </w:r>
    </w:p>
  </w:footnote>
  <w:footnote w:type="continuationSeparator" w:id="0">
    <w:p w14:paraId="7A16852E" w14:textId="77777777" w:rsidR="00EA72C8" w:rsidRDefault="00EA72C8" w:rsidP="008B70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0CD00A" w14:textId="016BE0EC" w:rsidR="00A26FE6" w:rsidRDefault="00A26FE6">
    <w:pPr>
      <w:pStyle w:val="En-tte"/>
    </w:pPr>
    <w:r>
      <w:rPr>
        <w:noProof/>
      </w:rPr>
      <w:pict w14:anchorId="4D24375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10391" o:spid="_x0000_s2050" type="#_x0000_t136" style="position:absolute;margin-left:0;margin-top:0;width:532.95pt;height:106.55pt;rotation:315;z-index:-251655168;mso-position-horizontal:center;mso-position-horizontal-relative:margin;mso-position-vertical:center;mso-position-vertical-relative:margin" o:allowincell="f" fillcolor="black" stroked="f">
          <v:textpath style="font-family:&quot;Calibri&quot;;font-size:1pt" string="PROJET DE TRAVAIL"/>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BFDB72" w14:textId="1B702E95" w:rsidR="008B7099" w:rsidRDefault="00A26FE6" w:rsidP="008B7099">
    <w:pPr>
      <w:pStyle w:val="En-tte"/>
      <w:tabs>
        <w:tab w:val="clear" w:pos="4536"/>
        <w:tab w:val="left" w:pos="4608"/>
      </w:tabs>
      <w:jc w:val="center"/>
    </w:pPr>
    <w:r>
      <w:rPr>
        <w:noProof/>
      </w:rPr>
      <w:pict w14:anchorId="6703E4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10392" o:spid="_x0000_s2051" type="#_x0000_t136" style="position:absolute;left:0;text-align:left;margin-left:0;margin-top:0;width:532.95pt;height:106.55pt;rotation:315;z-index:-251653120;mso-position-horizontal:center;mso-position-horizontal-relative:margin;mso-position-vertical:center;mso-position-vertical-relative:margin" o:allowincell="f" fillcolor="black" stroked="f">
          <v:textpath style="font-family:&quot;Calibri&quot;;font-size:1pt" string="PROJET DE TRAVAIL"/>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D6314E" w14:textId="558C1CAB" w:rsidR="00A26FE6" w:rsidRDefault="00A26FE6">
    <w:pPr>
      <w:pStyle w:val="En-tte"/>
    </w:pPr>
    <w:r>
      <w:rPr>
        <w:noProof/>
      </w:rPr>
      <w:pict w14:anchorId="24F7E80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1810390" o:spid="_x0000_s2049" type="#_x0000_t136" style="position:absolute;margin-left:0;margin-top:0;width:532.95pt;height:106.55pt;rotation:315;z-index:-251657216;mso-position-horizontal:center;mso-position-horizontal-relative:margin;mso-position-vertical:center;mso-position-vertical-relative:margin" o:allowincell="f" fillcolor="black" stroked="f">
          <v:textpath style="font-family:&quot;Calibri&quot;;font-size:1pt" string="PROJET DE TRAVAIL"/>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64433"/>
    <w:multiLevelType w:val="hybridMultilevel"/>
    <w:tmpl w:val="209C4960"/>
    <w:lvl w:ilvl="0" w:tplc="72582600">
      <w:start w:val="1"/>
      <w:numFmt w:val="bullet"/>
      <w:lvlText w:val="•"/>
      <w:lvlJc w:val="left"/>
      <w:pPr>
        <w:tabs>
          <w:tab w:val="num" w:pos="720"/>
        </w:tabs>
        <w:ind w:left="720" w:hanging="360"/>
      </w:pPr>
      <w:rPr>
        <w:rFonts w:ascii="Arial" w:hAnsi="Arial" w:hint="default"/>
      </w:rPr>
    </w:lvl>
    <w:lvl w:ilvl="1" w:tplc="19B0DD44" w:tentative="1">
      <w:start w:val="1"/>
      <w:numFmt w:val="bullet"/>
      <w:lvlText w:val="•"/>
      <w:lvlJc w:val="left"/>
      <w:pPr>
        <w:tabs>
          <w:tab w:val="num" w:pos="1440"/>
        </w:tabs>
        <w:ind w:left="1440" w:hanging="360"/>
      </w:pPr>
      <w:rPr>
        <w:rFonts w:ascii="Arial" w:hAnsi="Arial" w:hint="default"/>
      </w:rPr>
    </w:lvl>
    <w:lvl w:ilvl="2" w:tplc="F75E5A08" w:tentative="1">
      <w:start w:val="1"/>
      <w:numFmt w:val="bullet"/>
      <w:lvlText w:val="•"/>
      <w:lvlJc w:val="left"/>
      <w:pPr>
        <w:tabs>
          <w:tab w:val="num" w:pos="2160"/>
        </w:tabs>
        <w:ind w:left="2160" w:hanging="360"/>
      </w:pPr>
      <w:rPr>
        <w:rFonts w:ascii="Arial" w:hAnsi="Arial" w:hint="default"/>
      </w:rPr>
    </w:lvl>
    <w:lvl w:ilvl="3" w:tplc="553E9400" w:tentative="1">
      <w:start w:val="1"/>
      <w:numFmt w:val="bullet"/>
      <w:lvlText w:val="•"/>
      <w:lvlJc w:val="left"/>
      <w:pPr>
        <w:tabs>
          <w:tab w:val="num" w:pos="2880"/>
        </w:tabs>
        <w:ind w:left="2880" w:hanging="360"/>
      </w:pPr>
      <w:rPr>
        <w:rFonts w:ascii="Arial" w:hAnsi="Arial" w:hint="default"/>
      </w:rPr>
    </w:lvl>
    <w:lvl w:ilvl="4" w:tplc="664E47BE" w:tentative="1">
      <w:start w:val="1"/>
      <w:numFmt w:val="bullet"/>
      <w:lvlText w:val="•"/>
      <w:lvlJc w:val="left"/>
      <w:pPr>
        <w:tabs>
          <w:tab w:val="num" w:pos="3600"/>
        </w:tabs>
        <w:ind w:left="3600" w:hanging="360"/>
      </w:pPr>
      <w:rPr>
        <w:rFonts w:ascii="Arial" w:hAnsi="Arial" w:hint="default"/>
      </w:rPr>
    </w:lvl>
    <w:lvl w:ilvl="5" w:tplc="C3484E7A" w:tentative="1">
      <w:start w:val="1"/>
      <w:numFmt w:val="bullet"/>
      <w:lvlText w:val="•"/>
      <w:lvlJc w:val="left"/>
      <w:pPr>
        <w:tabs>
          <w:tab w:val="num" w:pos="4320"/>
        </w:tabs>
        <w:ind w:left="4320" w:hanging="360"/>
      </w:pPr>
      <w:rPr>
        <w:rFonts w:ascii="Arial" w:hAnsi="Arial" w:hint="default"/>
      </w:rPr>
    </w:lvl>
    <w:lvl w:ilvl="6" w:tplc="0AF4817C" w:tentative="1">
      <w:start w:val="1"/>
      <w:numFmt w:val="bullet"/>
      <w:lvlText w:val="•"/>
      <w:lvlJc w:val="left"/>
      <w:pPr>
        <w:tabs>
          <w:tab w:val="num" w:pos="5040"/>
        </w:tabs>
        <w:ind w:left="5040" w:hanging="360"/>
      </w:pPr>
      <w:rPr>
        <w:rFonts w:ascii="Arial" w:hAnsi="Arial" w:hint="default"/>
      </w:rPr>
    </w:lvl>
    <w:lvl w:ilvl="7" w:tplc="10666F08" w:tentative="1">
      <w:start w:val="1"/>
      <w:numFmt w:val="bullet"/>
      <w:lvlText w:val="•"/>
      <w:lvlJc w:val="left"/>
      <w:pPr>
        <w:tabs>
          <w:tab w:val="num" w:pos="5760"/>
        </w:tabs>
        <w:ind w:left="5760" w:hanging="360"/>
      </w:pPr>
      <w:rPr>
        <w:rFonts w:ascii="Arial" w:hAnsi="Arial" w:hint="default"/>
      </w:rPr>
    </w:lvl>
    <w:lvl w:ilvl="8" w:tplc="F2CC210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A324F01"/>
    <w:multiLevelType w:val="hybridMultilevel"/>
    <w:tmpl w:val="62360D5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DAB78E3"/>
    <w:multiLevelType w:val="hybridMultilevel"/>
    <w:tmpl w:val="CFA2F5B2"/>
    <w:lvl w:ilvl="0" w:tplc="656C53D0">
      <w:numFmt w:val="bullet"/>
      <w:lvlText w:val="-"/>
      <w:lvlJc w:val="left"/>
      <w:pPr>
        <w:ind w:left="720" w:hanging="360"/>
      </w:pPr>
      <w:rPr>
        <w:rFonts w:ascii="Calibri" w:eastAsiaTheme="minorEastAsia"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8F10057"/>
    <w:multiLevelType w:val="multilevel"/>
    <w:tmpl w:val="040C0025"/>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4" w15:restartNumberingAfterBreak="0">
    <w:nsid w:val="25A4407F"/>
    <w:multiLevelType w:val="hybridMultilevel"/>
    <w:tmpl w:val="1D54A2E0"/>
    <w:lvl w:ilvl="0" w:tplc="1828FC00">
      <w:start w:val="1"/>
      <w:numFmt w:val="bullet"/>
      <w:lvlText w:val="•"/>
      <w:lvlJc w:val="left"/>
      <w:pPr>
        <w:tabs>
          <w:tab w:val="num" w:pos="720"/>
        </w:tabs>
        <w:ind w:left="720" w:hanging="360"/>
      </w:pPr>
      <w:rPr>
        <w:rFonts w:ascii="Arial" w:hAnsi="Arial" w:hint="default"/>
      </w:rPr>
    </w:lvl>
    <w:lvl w:ilvl="1" w:tplc="2F36871E" w:tentative="1">
      <w:start w:val="1"/>
      <w:numFmt w:val="bullet"/>
      <w:lvlText w:val="•"/>
      <w:lvlJc w:val="left"/>
      <w:pPr>
        <w:tabs>
          <w:tab w:val="num" w:pos="1440"/>
        </w:tabs>
        <w:ind w:left="1440" w:hanging="360"/>
      </w:pPr>
      <w:rPr>
        <w:rFonts w:ascii="Arial" w:hAnsi="Arial" w:hint="default"/>
      </w:rPr>
    </w:lvl>
    <w:lvl w:ilvl="2" w:tplc="0C9E6F3C" w:tentative="1">
      <w:start w:val="1"/>
      <w:numFmt w:val="bullet"/>
      <w:lvlText w:val="•"/>
      <w:lvlJc w:val="left"/>
      <w:pPr>
        <w:tabs>
          <w:tab w:val="num" w:pos="2160"/>
        </w:tabs>
        <w:ind w:left="2160" w:hanging="360"/>
      </w:pPr>
      <w:rPr>
        <w:rFonts w:ascii="Arial" w:hAnsi="Arial" w:hint="default"/>
      </w:rPr>
    </w:lvl>
    <w:lvl w:ilvl="3" w:tplc="ECC4B06A" w:tentative="1">
      <w:start w:val="1"/>
      <w:numFmt w:val="bullet"/>
      <w:lvlText w:val="•"/>
      <w:lvlJc w:val="left"/>
      <w:pPr>
        <w:tabs>
          <w:tab w:val="num" w:pos="2880"/>
        </w:tabs>
        <w:ind w:left="2880" w:hanging="360"/>
      </w:pPr>
      <w:rPr>
        <w:rFonts w:ascii="Arial" w:hAnsi="Arial" w:hint="default"/>
      </w:rPr>
    </w:lvl>
    <w:lvl w:ilvl="4" w:tplc="82FED43A" w:tentative="1">
      <w:start w:val="1"/>
      <w:numFmt w:val="bullet"/>
      <w:lvlText w:val="•"/>
      <w:lvlJc w:val="left"/>
      <w:pPr>
        <w:tabs>
          <w:tab w:val="num" w:pos="3600"/>
        </w:tabs>
        <w:ind w:left="3600" w:hanging="360"/>
      </w:pPr>
      <w:rPr>
        <w:rFonts w:ascii="Arial" w:hAnsi="Arial" w:hint="default"/>
      </w:rPr>
    </w:lvl>
    <w:lvl w:ilvl="5" w:tplc="38A68C1C" w:tentative="1">
      <w:start w:val="1"/>
      <w:numFmt w:val="bullet"/>
      <w:lvlText w:val="•"/>
      <w:lvlJc w:val="left"/>
      <w:pPr>
        <w:tabs>
          <w:tab w:val="num" w:pos="4320"/>
        </w:tabs>
        <w:ind w:left="4320" w:hanging="360"/>
      </w:pPr>
      <w:rPr>
        <w:rFonts w:ascii="Arial" w:hAnsi="Arial" w:hint="default"/>
      </w:rPr>
    </w:lvl>
    <w:lvl w:ilvl="6" w:tplc="90EAE616" w:tentative="1">
      <w:start w:val="1"/>
      <w:numFmt w:val="bullet"/>
      <w:lvlText w:val="•"/>
      <w:lvlJc w:val="left"/>
      <w:pPr>
        <w:tabs>
          <w:tab w:val="num" w:pos="5040"/>
        </w:tabs>
        <w:ind w:left="5040" w:hanging="360"/>
      </w:pPr>
      <w:rPr>
        <w:rFonts w:ascii="Arial" w:hAnsi="Arial" w:hint="default"/>
      </w:rPr>
    </w:lvl>
    <w:lvl w:ilvl="7" w:tplc="7584E81E" w:tentative="1">
      <w:start w:val="1"/>
      <w:numFmt w:val="bullet"/>
      <w:lvlText w:val="•"/>
      <w:lvlJc w:val="left"/>
      <w:pPr>
        <w:tabs>
          <w:tab w:val="num" w:pos="5760"/>
        </w:tabs>
        <w:ind w:left="5760" w:hanging="360"/>
      </w:pPr>
      <w:rPr>
        <w:rFonts w:ascii="Arial" w:hAnsi="Arial" w:hint="default"/>
      </w:rPr>
    </w:lvl>
    <w:lvl w:ilvl="8" w:tplc="79ECF1C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8D23DFE"/>
    <w:multiLevelType w:val="hybridMultilevel"/>
    <w:tmpl w:val="041C15E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34AE2282"/>
    <w:multiLevelType w:val="hybridMultilevel"/>
    <w:tmpl w:val="E0F82FC0"/>
    <w:lvl w:ilvl="0" w:tplc="8D7C6E3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919454F"/>
    <w:multiLevelType w:val="hybridMultilevel"/>
    <w:tmpl w:val="79BED76E"/>
    <w:lvl w:ilvl="0" w:tplc="4016F508">
      <w:start w:val="1"/>
      <w:numFmt w:val="bullet"/>
      <w:lvlText w:val="•"/>
      <w:lvlJc w:val="left"/>
      <w:pPr>
        <w:tabs>
          <w:tab w:val="num" w:pos="720"/>
        </w:tabs>
        <w:ind w:left="720" w:hanging="360"/>
      </w:pPr>
      <w:rPr>
        <w:rFonts w:ascii="Arial" w:hAnsi="Arial" w:hint="default"/>
      </w:rPr>
    </w:lvl>
    <w:lvl w:ilvl="1" w:tplc="DE10B5F4" w:tentative="1">
      <w:start w:val="1"/>
      <w:numFmt w:val="bullet"/>
      <w:lvlText w:val="•"/>
      <w:lvlJc w:val="left"/>
      <w:pPr>
        <w:tabs>
          <w:tab w:val="num" w:pos="1440"/>
        </w:tabs>
        <w:ind w:left="1440" w:hanging="360"/>
      </w:pPr>
      <w:rPr>
        <w:rFonts w:ascii="Arial" w:hAnsi="Arial" w:hint="default"/>
      </w:rPr>
    </w:lvl>
    <w:lvl w:ilvl="2" w:tplc="D1F8ABEE" w:tentative="1">
      <w:start w:val="1"/>
      <w:numFmt w:val="bullet"/>
      <w:lvlText w:val="•"/>
      <w:lvlJc w:val="left"/>
      <w:pPr>
        <w:tabs>
          <w:tab w:val="num" w:pos="2160"/>
        </w:tabs>
        <w:ind w:left="2160" w:hanging="360"/>
      </w:pPr>
      <w:rPr>
        <w:rFonts w:ascii="Arial" w:hAnsi="Arial" w:hint="default"/>
      </w:rPr>
    </w:lvl>
    <w:lvl w:ilvl="3" w:tplc="3CF4B450" w:tentative="1">
      <w:start w:val="1"/>
      <w:numFmt w:val="bullet"/>
      <w:lvlText w:val="•"/>
      <w:lvlJc w:val="left"/>
      <w:pPr>
        <w:tabs>
          <w:tab w:val="num" w:pos="2880"/>
        </w:tabs>
        <w:ind w:left="2880" w:hanging="360"/>
      </w:pPr>
      <w:rPr>
        <w:rFonts w:ascii="Arial" w:hAnsi="Arial" w:hint="default"/>
      </w:rPr>
    </w:lvl>
    <w:lvl w:ilvl="4" w:tplc="CFA8EBAC" w:tentative="1">
      <w:start w:val="1"/>
      <w:numFmt w:val="bullet"/>
      <w:lvlText w:val="•"/>
      <w:lvlJc w:val="left"/>
      <w:pPr>
        <w:tabs>
          <w:tab w:val="num" w:pos="3600"/>
        </w:tabs>
        <w:ind w:left="3600" w:hanging="360"/>
      </w:pPr>
      <w:rPr>
        <w:rFonts w:ascii="Arial" w:hAnsi="Arial" w:hint="default"/>
      </w:rPr>
    </w:lvl>
    <w:lvl w:ilvl="5" w:tplc="CFEAD606" w:tentative="1">
      <w:start w:val="1"/>
      <w:numFmt w:val="bullet"/>
      <w:lvlText w:val="•"/>
      <w:lvlJc w:val="left"/>
      <w:pPr>
        <w:tabs>
          <w:tab w:val="num" w:pos="4320"/>
        </w:tabs>
        <w:ind w:left="4320" w:hanging="360"/>
      </w:pPr>
      <w:rPr>
        <w:rFonts w:ascii="Arial" w:hAnsi="Arial" w:hint="default"/>
      </w:rPr>
    </w:lvl>
    <w:lvl w:ilvl="6" w:tplc="5EA0A6D6" w:tentative="1">
      <w:start w:val="1"/>
      <w:numFmt w:val="bullet"/>
      <w:lvlText w:val="•"/>
      <w:lvlJc w:val="left"/>
      <w:pPr>
        <w:tabs>
          <w:tab w:val="num" w:pos="5040"/>
        </w:tabs>
        <w:ind w:left="5040" w:hanging="360"/>
      </w:pPr>
      <w:rPr>
        <w:rFonts w:ascii="Arial" w:hAnsi="Arial" w:hint="default"/>
      </w:rPr>
    </w:lvl>
    <w:lvl w:ilvl="7" w:tplc="D446FBB4" w:tentative="1">
      <w:start w:val="1"/>
      <w:numFmt w:val="bullet"/>
      <w:lvlText w:val="•"/>
      <w:lvlJc w:val="left"/>
      <w:pPr>
        <w:tabs>
          <w:tab w:val="num" w:pos="5760"/>
        </w:tabs>
        <w:ind w:left="5760" w:hanging="360"/>
      </w:pPr>
      <w:rPr>
        <w:rFonts w:ascii="Arial" w:hAnsi="Arial" w:hint="default"/>
      </w:rPr>
    </w:lvl>
    <w:lvl w:ilvl="8" w:tplc="E6B444C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EF75A6A"/>
    <w:multiLevelType w:val="hybridMultilevel"/>
    <w:tmpl w:val="AE8479F0"/>
    <w:lvl w:ilvl="0" w:tplc="732A7056">
      <w:start w:val="1"/>
      <w:numFmt w:val="bullet"/>
      <w:lvlText w:val=""/>
      <w:lvlJc w:val="left"/>
      <w:pPr>
        <w:tabs>
          <w:tab w:val="num" w:pos="360"/>
        </w:tabs>
        <w:ind w:left="360" w:hanging="360"/>
      </w:pPr>
      <w:rPr>
        <w:rFonts w:ascii="Wingdings" w:hAnsi="Wingdings" w:hint="default"/>
      </w:rPr>
    </w:lvl>
    <w:lvl w:ilvl="1" w:tplc="157C911E">
      <w:start w:val="1"/>
      <w:numFmt w:val="bullet"/>
      <w:lvlText w:val=""/>
      <w:lvlJc w:val="left"/>
      <w:pPr>
        <w:tabs>
          <w:tab w:val="num" w:pos="1080"/>
        </w:tabs>
        <w:ind w:left="1080" w:hanging="360"/>
      </w:pPr>
      <w:rPr>
        <w:rFonts w:ascii="Wingdings" w:hAnsi="Wingdings" w:hint="default"/>
      </w:rPr>
    </w:lvl>
    <w:lvl w:ilvl="2" w:tplc="CA023A3C">
      <w:start w:val="1"/>
      <w:numFmt w:val="bullet"/>
      <w:lvlText w:val=""/>
      <w:lvlJc w:val="left"/>
      <w:pPr>
        <w:tabs>
          <w:tab w:val="num" w:pos="1800"/>
        </w:tabs>
        <w:ind w:left="1800" w:hanging="360"/>
      </w:pPr>
      <w:rPr>
        <w:rFonts w:ascii="Wingdings" w:hAnsi="Wingdings" w:hint="default"/>
      </w:rPr>
    </w:lvl>
    <w:lvl w:ilvl="3" w:tplc="63E27358">
      <w:start w:val="1"/>
      <w:numFmt w:val="bullet"/>
      <w:lvlText w:val=""/>
      <w:lvlJc w:val="left"/>
      <w:pPr>
        <w:tabs>
          <w:tab w:val="num" w:pos="2520"/>
        </w:tabs>
        <w:ind w:left="2520" w:hanging="360"/>
      </w:pPr>
      <w:rPr>
        <w:rFonts w:ascii="Wingdings" w:hAnsi="Wingdings" w:hint="default"/>
      </w:rPr>
    </w:lvl>
    <w:lvl w:ilvl="4" w:tplc="555ADBD6">
      <w:start w:val="1"/>
      <w:numFmt w:val="bullet"/>
      <w:lvlText w:val=""/>
      <w:lvlJc w:val="left"/>
      <w:pPr>
        <w:tabs>
          <w:tab w:val="num" w:pos="3240"/>
        </w:tabs>
        <w:ind w:left="3240" w:hanging="360"/>
      </w:pPr>
      <w:rPr>
        <w:rFonts w:ascii="Wingdings" w:hAnsi="Wingdings" w:hint="default"/>
      </w:rPr>
    </w:lvl>
    <w:lvl w:ilvl="5" w:tplc="040C0001">
      <w:start w:val="1"/>
      <w:numFmt w:val="bullet"/>
      <w:lvlText w:val=""/>
      <w:lvlJc w:val="left"/>
      <w:pPr>
        <w:tabs>
          <w:tab w:val="num" w:pos="3960"/>
        </w:tabs>
        <w:ind w:left="3960" w:hanging="360"/>
      </w:pPr>
      <w:rPr>
        <w:rFonts w:ascii="Symbol" w:hAnsi="Symbol" w:hint="default"/>
      </w:rPr>
    </w:lvl>
    <w:lvl w:ilvl="6" w:tplc="BEB0D558" w:tentative="1">
      <w:start w:val="1"/>
      <w:numFmt w:val="bullet"/>
      <w:lvlText w:val=""/>
      <w:lvlJc w:val="left"/>
      <w:pPr>
        <w:tabs>
          <w:tab w:val="num" w:pos="4680"/>
        </w:tabs>
        <w:ind w:left="4680" w:hanging="360"/>
      </w:pPr>
      <w:rPr>
        <w:rFonts w:ascii="Wingdings" w:hAnsi="Wingdings" w:hint="default"/>
      </w:rPr>
    </w:lvl>
    <w:lvl w:ilvl="7" w:tplc="2006CA8E" w:tentative="1">
      <w:start w:val="1"/>
      <w:numFmt w:val="bullet"/>
      <w:lvlText w:val=""/>
      <w:lvlJc w:val="left"/>
      <w:pPr>
        <w:tabs>
          <w:tab w:val="num" w:pos="5400"/>
        </w:tabs>
        <w:ind w:left="5400" w:hanging="360"/>
      </w:pPr>
      <w:rPr>
        <w:rFonts w:ascii="Wingdings" w:hAnsi="Wingdings" w:hint="default"/>
      </w:rPr>
    </w:lvl>
    <w:lvl w:ilvl="8" w:tplc="51885D60"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456611F4"/>
    <w:multiLevelType w:val="hybridMultilevel"/>
    <w:tmpl w:val="C8923B18"/>
    <w:lvl w:ilvl="0" w:tplc="732A7056">
      <w:start w:val="1"/>
      <w:numFmt w:val="bullet"/>
      <w:lvlText w:val=""/>
      <w:lvlJc w:val="left"/>
      <w:pPr>
        <w:tabs>
          <w:tab w:val="num" w:pos="720"/>
        </w:tabs>
        <w:ind w:left="720" w:hanging="360"/>
      </w:pPr>
      <w:rPr>
        <w:rFonts w:ascii="Wingdings" w:hAnsi="Wingdings" w:hint="default"/>
      </w:rPr>
    </w:lvl>
    <w:lvl w:ilvl="1" w:tplc="157C911E" w:tentative="1">
      <w:start w:val="1"/>
      <w:numFmt w:val="bullet"/>
      <w:lvlText w:val=""/>
      <w:lvlJc w:val="left"/>
      <w:pPr>
        <w:tabs>
          <w:tab w:val="num" w:pos="1440"/>
        </w:tabs>
        <w:ind w:left="1440" w:hanging="360"/>
      </w:pPr>
      <w:rPr>
        <w:rFonts w:ascii="Wingdings" w:hAnsi="Wingdings" w:hint="default"/>
      </w:rPr>
    </w:lvl>
    <w:lvl w:ilvl="2" w:tplc="CA023A3C" w:tentative="1">
      <w:start w:val="1"/>
      <w:numFmt w:val="bullet"/>
      <w:lvlText w:val=""/>
      <w:lvlJc w:val="left"/>
      <w:pPr>
        <w:tabs>
          <w:tab w:val="num" w:pos="2160"/>
        </w:tabs>
        <w:ind w:left="2160" w:hanging="360"/>
      </w:pPr>
      <w:rPr>
        <w:rFonts w:ascii="Wingdings" w:hAnsi="Wingdings" w:hint="default"/>
      </w:rPr>
    </w:lvl>
    <w:lvl w:ilvl="3" w:tplc="63E27358" w:tentative="1">
      <w:start w:val="1"/>
      <w:numFmt w:val="bullet"/>
      <w:lvlText w:val=""/>
      <w:lvlJc w:val="left"/>
      <w:pPr>
        <w:tabs>
          <w:tab w:val="num" w:pos="2880"/>
        </w:tabs>
        <w:ind w:left="2880" w:hanging="360"/>
      </w:pPr>
      <w:rPr>
        <w:rFonts w:ascii="Wingdings" w:hAnsi="Wingdings" w:hint="default"/>
      </w:rPr>
    </w:lvl>
    <w:lvl w:ilvl="4" w:tplc="555ADBD6" w:tentative="1">
      <w:start w:val="1"/>
      <w:numFmt w:val="bullet"/>
      <w:lvlText w:val=""/>
      <w:lvlJc w:val="left"/>
      <w:pPr>
        <w:tabs>
          <w:tab w:val="num" w:pos="3600"/>
        </w:tabs>
        <w:ind w:left="3600" w:hanging="360"/>
      </w:pPr>
      <w:rPr>
        <w:rFonts w:ascii="Wingdings" w:hAnsi="Wingdings" w:hint="default"/>
      </w:rPr>
    </w:lvl>
    <w:lvl w:ilvl="5" w:tplc="2DF20C9A">
      <w:start w:val="1"/>
      <w:numFmt w:val="bullet"/>
      <w:lvlText w:val=""/>
      <w:lvlJc w:val="left"/>
      <w:pPr>
        <w:tabs>
          <w:tab w:val="num" w:pos="4320"/>
        </w:tabs>
        <w:ind w:left="4320" w:hanging="360"/>
      </w:pPr>
      <w:rPr>
        <w:rFonts w:ascii="Wingdings" w:hAnsi="Wingdings" w:hint="default"/>
      </w:rPr>
    </w:lvl>
    <w:lvl w:ilvl="6" w:tplc="BEB0D558" w:tentative="1">
      <w:start w:val="1"/>
      <w:numFmt w:val="bullet"/>
      <w:lvlText w:val=""/>
      <w:lvlJc w:val="left"/>
      <w:pPr>
        <w:tabs>
          <w:tab w:val="num" w:pos="5040"/>
        </w:tabs>
        <w:ind w:left="5040" w:hanging="360"/>
      </w:pPr>
      <w:rPr>
        <w:rFonts w:ascii="Wingdings" w:hAnsi="Wingdings" w:hint="default"/>
      </w:rPr>
    </w:lvl>
    <w:lvl w:ilvl="7" w:tplc="2006CA8E" w:tentative="1">
      <w:start w:val="1"/>
      <w:numFmt w:val="bullet"/>
      <w:lvlText w:val=""/>
      <w:lvlJc w:val="left"/>
      <w:pPr>
        <w:tabs>
          <w:tab w:val="num" w:pos="5760"/>
        </w:tabs>
        <w:ind w:left="5760" w:hanging="360"/>
      </w:pPr>
      <w:rPr>
        <w:rFonts w:ascii="Wingdings" w:hAnsi="Wingdings" w:hint="default"/>
      </w:rPr>
    </w:lvl>
    <w:lvl w:ilvl="8" w:tplc="51885D60"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8310EC2"/>
    <w:multiLevelType w:val="hybridMultilevel"/>
    <w:tmpl w:val="C708100A"/>
    <w:lvl w:ilvl="0" w:tplc="C83C29EC">
      <w:start w:val="1"/>
      <w:numFmt w:val="bullet"/>
      <w:lvlText w:val="•"/>
      <w:lvlJc w:val="left"/>
      <w:pPr>
        <w:tabs>
          <w:tab w:val="num" w:pos="720"/>
        </w:tabs>
        <w:ind w:left="720" w:hanging="360"/>
      </w:pPr>
      <w:rPr>
        <w:rFonts w:ascii="Arial" w:hAnsi="Arial" w:hint="default"/>
      </w:rPr>
    </w:lvl>
    <w:lvl w:ilvl="1" w:tplc="9A3ED04C" w:tentative="1">
      <w:start w:val="1"/>
      <w:numFmt w:val="bullet"/>
      <w:lvlText w:val="•"/>
      <w:lvlJc w:val="left"/>
      <w:pPr>
        <w:tabs>
          <w:tab w:val="num" w:pos="1440"/>
        </w:tabs>
        <w:ind w:left="1440" w:hanging="360"/>
      </w:pPr>
      <w:rPr>
        <w:rFonts w:ascii="Arial" w:hAnsi="Arial" w:hint="default"/>
      </w:rPr>
    </w:lvl>
    <w:lvl w:ilvl="2" w:tplc="81E8031C" w:tentative="1">
      <w:start w:val="1"/>
      <w:numFmt w:val="bullet"/>
      <w:lvlText w:val="•"/>
      <w:lvlJc w:val="left"/>
      <w:pPr>
        <w:tabs>
          <w:tab w:val="num" w:pos="2160"/>
        </w:tabs>
        <w:ind w:left="2160" w:hanging="360"/>
      </w:pPr>
      <w:rPr>
        <w:rFonts w:ascii="Arial" w:hAnsi="Arial" w:hint="default"/>
      </w:rPr>
    </w:lvl>
    <w:lvl w:ilvl="3" w:tplc="AEAEF458" w:tentative="1">
      <w:start w:val="1"/>
      <w:numFmt w:val="bullet"/>
      <w:lvlText w:val="•"/>
      <w:lvlJc w:val="left"/>
      <w:pPr>
        <w:tabs>
          <w:tab w:val="num" w:pos="2880"/>
        </w:tabs>
        <w:ind w:left="2880" w:hanging="360"/>
      </w:pPr>
      <w:rPr>
        <w:rFonts w:ascii="Arial" w:hAnsi="Arial" w:hint="default"/>
      </w:rPr>
    </w:lvl>
    <w:lvl w:ilvl="4" w:tplc="6192732A" w:tentative="1">
      <w:start w:val="1"/>
      <w:numFmt w:val="bullet"/>
      <w:lvlText w:val="•"/>
      <w:lvlJc w:val="left"/>
      <w:pPr>
        <w:tabs>
          <w:tab w:val="num" w:pos="3600"/>
        </w:tabs>
        <w:ind w:left="3600" w:hanging="360"/>
      </w:pPr>
      <w:rPr>
        <w:rFonts w:ascii="Arial" w:hAnsi="Arial" w:hint="default"/>
      </w:rPr>
    </w:lvl>
    <w:lvl w:ilvl="5" w:tplc="8CDC61D2" w:tentative="1">
      <w:start w:val="1"/>
      <w:numFmt w:val="bullet"/>
      <w:lvlText w:val="•"/>
      <w:lvlJc w:val="left"/>
      <w:pPr>
        <w:tabs>
          <w:tab w:val="num" w:pos="4320"/>
        </w:tabs>
        <w:ind w:left="4320" w:hanging="360"/>
      </w:pPr>
      <w:rPr>
        <w:rFonts w:ascii="Arial" w:hAnsi="Arial" w:hint="default"/>
      </w:rPr>
    </w:lvl>
    <w:lvl w:ilvl="6" w:tplc="23D866FE" w:tentative="1">
      <w:start w:val="1"/>
      <w:numFmt w:val="bullet"/>
      <w:lvlText w:val="•"/>
      <w:lvlJc w:val="left"/>
      <w:pPr>
        <w:tabs>
          <w:tab w:val="num" w:pos="5040"/>
        </w:tabs>
        <w:ind w:left="5040" w:hanging="360"/>
      </w:pPr>
      <w:rPr>
        <w:rFonts w:ascii="Arial" w:hAnsi="Arial" w:hint="default"/>
      </w:rPr>
    </w:lvl>
    <w:lvl w:ilvl="7" w:tplc="BA4EF15C" w:tentative="1">
      <w:start w:val="1"/>
      <w:numFmt w:val="bullet"/>
      <w:lvlText w:val="•"/>
      <w:lvlJc w:val="left"/>
      <w:pPr>
        <w:tabs>
          <w:tab w:val="num" w:pos="5760"/>
        </w:tabs>
        <w:ind w:left="5760" w:hanging="360"/>
      </w:pPr>
      <w:rPr>
        <w:rFonts w:ascii="Arial" w:hAnsi="Arial" w:hint="default"/>
      </w:rPr>
    </w:lvl>
    <w:lvl w:ilvl="8" w:tplc="D5EA087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78E2402D"/>
    <w:multiLevelType w:val="hybridMultilevel"/>
    <w:tmpl w:val="9F842B5E"/>
    <w:lvl w:ilvl="0" w:tplc="040C0001">
      <w:start w:val="1"/>
      <w:numFmt w:val="bullet"/>
      <w:lvlText w:val=""/>
      <w:lvlJc w:val="left"/>
      <w:pPr>
        <w:tabs>
          <w:tab w:val="num" w:pos="360"/>
        </w:tabs>
        <w:ind w:left="360" w:hanging="360"/>
      </w:pPr>
      <w:rPr>
        <w:rFonts w:ascii="Symbol" w:hAnsi="Symbol" w:hint="default"/>
      </w:rPr>
    </w:lvl>
    <w:lvl w:ilvl="1" w:tplc="157C911E">
      <w:start w:val="1"/>
      <w:numFmt w:val="bullet"/>
      <w:lvlText w:val=""/>
      <w:lvlJc w:val="left"/>
      <w:pPr>
        <w:tabs>
          <w:tab w:val="num" w:pos="1080"/>
        </w:tabs>
        <w:ind w:left="1080" w:hanging="360"/>
      </w:pPr>
      <w:rPr>
        <w:rFonts w:ascii="Wingdings" w:hAnsi="Wingdings" w:hint="default"/>
      </w:rPr>
    </w:lvl>
    <w:lvl w:ilvl="2" w:tplc="CA023A3C">
      <w:start w:val="1"/>
      <w:numFmt w:val="bullet"/>
      <w:lvlText w:val=""/>
      <w:lvlJc w:val="left"/>
      <w:pPr>
        <w:tabs>
          <w:tab w:val="num" w:pos="1800"/>
        </w:tabs>
        <w:ind w:left="1800" w:hanging="360"/>
      </w:pPr>
      <w:rPr>
        <w:rFonts w:ascii="Wingdings" w:hAnsi="Wingdings" w:hint="default"/>
      </w:rPr>
    </w:lvl>
    <w:lvl w:ilvl="3" w:tplc="63E27358">
      <w:start w:val="1"/>
      <w:numFmt w:val="bullet"/>
      <w:lvlText w:val=""/>
      <w:lvlJc w:val="left"/>
      <w:pPr>
        <w:tabs>
          <w:tab w:val="num" w:pos="2520"/>
        </w:tabs>
        <w:ind w:left="2520" w:hanging="360"/>
      </w:pPr>
      <w:rPr>
        <w:rFonts w:ascii="Wingdings" w:hAnsi="Wingdings" w:hint="default"/>
      </w:rPr>
    </w:lvl>
    <w:lvl w:ilvl="4" w:tplc="555ADBD6">
      <w:start w:val="1"/>
      <w:numFmt w:val="bullet"/>
      <w:lvlText w:val=""/>
      <w:lvlJc w:val="left"/>
      <w:pPr>
        <w:tabs>
          <w:tab w:val="num" w:pos="3240"/>
        </w:tabs>
        <w:ind w:left="3240" w:hanging="360"/>
      </w:pPr>
      <w:rPr>
        <w:rFonts w:ascii="Wingdings" w:hAnsi="Wingdings" w:hint="default"/>
      </w:rPr>
    </w:lvl>
    <w:lvl w:ilvl="5" w:tplc="040C0001">
      <w:start w:val="1"/>
      <w:numFmt w:val="bullet"/>
      <w:lvlText w:val=""/>
      <w:lvlJc w:val="left"/>
      <w:pPr>
        <w:tabs>
          <w:tab w:val="num" w:pos="3960"/>
        </w:tabs>
        <w:ind w:left="3960" w:hanging="360"/>
      </w:pPr>
      <w:rPr>
        <w:rFonts w:ascii="Symbol" w:hAnsi="Symbol" w:hint="default"/>
      </w:rPr>
    </w:lvl>
    <w:lvl w:ilvl="6" w:tplc="BEB0D558" w:tentative="1">
      <w:start w:val="1"/>
      <w:numFmt w:val="bullet"/>
      <w:lvlText w:val=""/>
      <w:lvlJc w:val="left"/>
      <w:pPr>
        <w:tabs>
          <w:tab w:val="num" w:pos="4680"/>
        </w:tabs>
        <w:ind w:left="4680" w:hanging="360"/>
      </w:pPr>
      <w:rPr>
        <w:rFonts w:ascii="Wingdings" w:hAnsi="Wingdings" w:hint="default"/>
      </w:rPr>
    </w:lvl>
    <w:lvl w:ilvl="7" w:tplc="2006CA8E" w:tentative="1">
      <w:start w:val="1"/>
      <w:numFmt w:val="bullet"/>
      <w:lvlText w:val=""/>
      <w:lvlJc w:val="left"/>
      <w:pPr>
        <w:tabs>
          <w:tab w:val="num" w:pos="5400"/>
        </w:tabs>
        <w:ind w:left="5400" w:hanging="360"/>
      </w:pPr>
      <w:rPr>
        <w:rFonts w:ascii="Wingdings" w:hAnsi="Wingdings" w:hint="default"/>
      </w:rPr>
    </w:lvl>
    <w:lvl w:ilvl="8" w:tplc="51885D60"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9"/>
  </w:num>
  <w:num w:numId="3">
    <w:abstractNumId w:val="8"/>
  </w:num>
  <w:num w:numId="4">
    <w:abstractNumId w:val="11"/>
  </w:num>
  <w:num w:numId="5">
    <w:abstractNumId w:val="5"/>
  </w:num>
  <w:num w:numId="6">
    <w:abstractNumId w:val="3"/>
  </w:num>
  <w:num w:numId="7">
    <w:abstractNumId w:val="3"/>
  </w:num>
  <w:num w:numId="8">
    <w:abstractNumId w:val="1"/>
  </w:num>
  <w:num w:numId="9">
    <w:abstractNumId w:val="3"/>
  </w:num>
  <w:num w:numId="10">
    <w:abstractNumId w:val="6"/>
  </w:num>
  <w:num w:numId="11">
    <w:abstractNumId w:val="2"/>
  </w:num>
  <w:num w:numId="12">
    <w:abstractNumId w:val="4"/>
  </w:num>
  <w:num w:numId="13">
    <w:abstractNumId w:val="0"/>
  </w:num>
  <w:num w:numId="14">
    <w:abstractNumId w:val="1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099"/>
    <w:rsid w:val="000015C6"/>
    <w:rsid w:val="00020709"/>
    <w:rsid w:val="00022551"/>
    <w:rsid w:val="00061590"/>
    <w:rsid w:val="000715DB"/>
    <w:rsid w:val="000A6426"/>
    <w:rsid w:val="000A76D0"/>
    <w:rsid w:val="000C1FAC"/>
    <w:rsid w:val="000E6ECA"/>
    <w:rsid w:val="000F079C"/>
    <w:rsid w:val="00140952"/>
    <w:rsid w:val="00147BA2"/>
    <w:rsid w:val="0015240F"/>
    <w:rsid w:val="00211D4B"/>
    <w:rsid w:val="00233C8E"/>
    <w:rsid w:val="002757C9"/>
    <w:rsid w:val="002A10F2"/>
    <w:rsid w:val="002C58EA"/>
    <w:rsid w:val="002F11DF"/>
    <w:rsid w:val="002F5178"/>
    <w:rsid w:val="0034032D"/>
    <w:rsid w:val="003553B1"/>
    <w:rsid w:val="0036387E"/>
    <w:rsid w:val="003639E8"/>
    <w:rsid w:val="0038668B"/>
    <w:rsid w:val="003B7519"/>
    <w:rsid w:val="003F154C"/>
    <w:rsid w:val="00406181"/>
    <w:rsid w:val="00495E29"/>
    <w:rsid w:val="004D15D4"/>
    <w:rsid w:val="004E5262"/>
    <w:rsid w:val="0055627A"/>
    <w:rsid w:val="00581104"/>
    <w:rsid w:val="005A0922"/>
    <w:rsid w:val="005B726F"/>
    <w:rsid w:val="00620A3E"/>
    <w:rsid w:val="00630CE8"/>
    <w:rsid w:val="00681736"/>
    <w:rsid w:val="006B5CB5"/>
    <w:rsid w:val="006C32F6"/>
    <w:rsid w:val="006F321B"/>
    <w:rsid w:val="00723D16"/>
    <w:rsid w:val="007264E0"/>
    <w:rsid w:val="00733473"/>
    <w:rsid w:val="007907E6"/>
    <w:rsid w:val="007A6522"/>
    <w:rsid w:val="007B6F8A"/>
    <w:rsid w:val="007D0137"/>
    <w:rsid w:val="007F622E"/>
    <w:rsid w:val="008178AD"/>
    <w:rsid w:val="00821852"/>
    <w:rsid w:val="008363A8"/>
    <w:rsid w:val="00840F4A"/>
    <w:rsid w:val="00897056"/>
    <w:rsid w:val="008A1075"/>
    <w:rsid w:val="008B7099"/>
    <w:rsid w:val="009162D6"/>
    <w:rsid w:val="00946CF9"/>
    <w:rsid w:val="00950FCF"/>
    <w:rsid w:val="00963791"/>
    <w:rsid w:val="00966CB0"/>
    <w:rsid w:val="00992155"/>
    <w:rsid w:val="009924E2"/>
    <w:rsid w:val="009A21AE"/>
    <w:rsid w:val="009E12FD"/>
    <w:rsid w:val="00A2433D"/>
    <w:rsid w:val="00A26FE6"/>
    <w:rsid w:val="00A5298D"/>
    <w:rsid w:val="00AF4AF2"/>
    <w:rsid w:val="00B70026"/>
    <w:rsid w:val="00C36A4A"/>
    <w:rsid w:val="00C37E5F"/>
    <w:rsid w:val="00CA2937"/>
    <w:rsid w:val="00CD1E78"/>
    <w:rsid w:val="00CD74CE"/>
    <w:rsid w:val="00CE4583"/>
    <w:rsid w:val="00D662CE"/>
    <w:rsid w:val="00DD1A0E"/>
    <w:rsid w:val="00DF00FD"/>
    <w:rsid w:val="00DF1B0B"/>
    <w:rsid w:val="00E11528"/>
    <w:rsid w:val="00E4189A"/>
    <w:rsid w:val="00E546C8"/>
    <w:rsid w:val="00EA72C8"/>
    <w:rsid w:val="00EB1ADD"/>
    <w:rsid w:val="00EB55AD"/>
    <w:rsid w:val="00EC1B6B"/>
    <w:rsid w:val="00ED5588"/>
    <w:rsid w:val="00F230E0"/>
    <w:rsid w:val="00F41911"/>
    <w:rsid w:val="00F45D74"/>
    <w:rsid w:val="00F51469"/>
    <w:rsid w:val="00F65FEA"/>
    <w:rsid w:val="00FB0322"/>
    <w:rsid w:val="00FB40F6"/>
    <w:rsid w:val="00FE70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B2A1C0E"/>
  <w15:chartTrackingRefBased/>
  <w15:docId w15:val="{BDF2FB25-59A1-413D-80C7-AED48CCF8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7099"/>
  </w:style>
  <w:style w:type="paragraph" w:styleId="Titre1">
    <w:name w:val="heading 1"/>
    <w:basedOn w:val="Normal"/>
    <w:next w:val="Normal"/>
    <w:link w:val="Titre1Car"/>
    <w:uiPriority w:val="9"/>
    <w:qFormat/>
    <w:rsid w:val="008B7099"/>
    <w:pPr>
      <w:keepNext/>
      <w:keepLines/>
      <w:numPr>
        <w:numId w:val="1"/>
      </w:numPr>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itre2">
    <w:name w:val="heading 2"/>
    <w:basedOn w:val="Normal"/>
    <w:next w:val="Normal"/>
    <w:link w:val="Titre2Car"/>
    <w:uiPriority w:val="9"/>
    <w:unhideWhenUsed/>
    <w:qFormat/>
    <w:rsid w:val="008B7099"/>
    <w:pPr>
      <w:keepNext/>
      <w:keepLines/>
      <w:numPr>
        <w:ilvl w:val="1"/>
        <w:numId w:val="1"/>
      </w:numPr>
      <w:spacing w:before="200" w:after="0"/>
      <w:outlineLvl w:val="1"/>
    </w:pPr>
    <w:rPr>
      <w:rFonts w:asciiTheme="majorHAnsi" w:eastAsiaTheme="majorEastAsia" w:hAnsiTheme="majorHAnsi" w:cstheme="majorBidi"/>
      <w:b/>
      <w:bCs/>
      <w:color w:val="5B9BD5" w:themeColor="accent1"/>
      <w:sz w:val="26"/>
      <w:szCs w:val="26"/>
    </w:rPr>
  </w:style>
  <w:style w:type="paragraph" w:styleId="Titre3">
    <w:name w:val="heading 3"/>
    <w:basedOn w:val="Normal"/>
    <w:next w:val="Normal"/>
    <w:link w:val="Titre3Car"/>
    <w:uiPriority w:val="9"/>
    <w:unhideWhenUsed/>
    <w:qFormat/>
    <w:rsid w:val="008B7099"/>
    <w:pPr>
      <w:keepNext/>
      <w:keepLines/>
      <w:numPr>
        <w:ilvl w:val="2"/>
        <w:numId w:val="1"/>
      </w:numPr>
      <w:spacing w:before="200" w:after="0"/>
      <w:outlineLvl w:val="2"/>
    </w:pPr>
    <w:rPr>
      <w:rFonts w:asciiTheme="majorHAnsi" w:eastAsiaTheme="majorEastAsia" w:hAnsiTheme="majorHAnsi" w:cstheme="majorBidi"/>
      <w:b/>
      <w:bCs/>
      <w:color w:val="5B9BD5" w:themeColor="accent1"/>
    </w:rPr>
  </w:style>
  <w:style w:type="paragraph" w:styleId="Titre4">
    <w:name w:val="heading 4"/>
    <w:basedOn w:val="Normal"/>
    <w:next w:val="Normal"/>
    <w:link w:val="Titre4Car"/>
    <w:uiPriority w:val="9"/>
    <w:unhideWhenUsed/>
    <w:qFormat/>
    <w:rsid w:val="008B7099"/>
    <w:pPr>
      <w:keepNext/>
      <w:keepLines/>
      <w:numPr>
        <w:ilvl w:val="3"/>
        <w:numId w:val="1"/>
      </w:numPr>
      <w:spacing w:before="200" w:after="0"/>
      <w:outlineLvl w:val="3"/>
    </w:pPr>
    <w:rPr>
      <w:rFonts w:asciiTheme="majorHAnsi" w:eastAsiaTheme="majorEastAsia" w:hAnsiTheme="majorHAnsi" w:cstheme="majorBidi"/>
      <w:b/>
      <w:bCs/>
      <w:i/>
      <w:iCs/>
      <w:color w:val="5B9BD5" w:themeColor="accent1"/>
    </w:rPr>
  </w:style>
  <w:style w:type="paragraph" w:styleId="Titre5">
    <w:name w:val="heading 5"/>
    <w:basedOn w:val="Normal"/>
    <w:next w:val="Normal"/>
    <w:link w:val="Titre5Car"/>
    <w:uiPriority w:val="9"/>
    <w:semiHidden/>
    <w:unhideWhenUsed/>
    <w:qFormat/>
    <w:rsid w:val="008B7099"/>
    <w:pPr>
      <w:keepNext/>
      <w:keepLines/>
      <w:numPr>
        <w:ilvl w:val="4"/>
        <w:numId w:val="1"/>
      </w:numPr>
      <w:spacing w:before="200" w:after="0"/>
      <w:outlineLvl w:val="4"/>
    </w:pPr>
    <w:rPr>
      <w:rFonts w:asciiTheme="majorHAnsi" w:eastAsiaTheme="majorEastAsia" w:hAnsiTheme="majorHAnsi" w:cstheme="majorBidi"/>
      <w:color w:val="1F4D78" w:themeColor="accent1" w:themeShade="7F"/>
    </w:rPr>
  </w:style>
  <w:style w:type="paragraph" w:styleId="Titre6">
    <w:name w:val="heading 6"/>
    <w:basedOn w:val="Normal"/>
    <w:next w:val="Normal"/>
    <w:link w:val="Titre6Car"/>
    <w:uiPriority w:val="9"/>
    <w:semiHidden/>
    <w:unhideWhenUsed/>
    <w:qFormat/>
    <w:rsid w:val="008B7099"/>
    <w:pPr>
      <w:keepNext/>
      <w:keepLines/>
      <w:numPr>
        <w:ilvl w:val="5"/>
        <w:numId w:val="1"/>
      </w:numPr>
      <w:spacing w:before="200" w:after="0"/>
      <w:outlineLvl w:val="5"/>
    </w:pPr>
    <w:rPr>
      <w:rFonts w:asciiTheme="majorHAnsi" w:eastAsiaTheme="majorEastAsia" w:hAnsiTheme="majorHAnsi" w:cstheme="majorBidi"/>
      <w:i/>
      <w:iCs/>
      <w:color w:val="1F4D78" w:themeColor="accent1" w:themeShade="7F"/>
    </w:rPr>
  </w:style>
  <w:style w:type="paragraph" w:styleId="Titre7">
    <w:name w:val="heading 7"/>
    <w:basedOn w:val="Normal"/>
    <w:next w:val="Normal"/>
    <w:link w:val="Titre7Car"/>
    <w:uiPriority w:val="9"/>
    <w:semiHidden/>
    <w:unhideWhenUsed/>
    <w:qFormat/>
    <w:rsid w:val="008B7099"/>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8B7099"/>
    <w:pPr>
      <w:keepNext/>
      <w:keepLines/>
      <w:numPr>
        <w:ilvl w:val="7"/>
        <w:numId w:val="1"/>
      </w:numPr>
      <w:spacing w:before="200" w:after="0"/>
      <w:outlineLvl w:val="7"/>
    </w:pPr>
    <w:rPr>
      <w:rFonts w:asciiTheme="majorHAnsi" w:eastAsiaTheme="majorEastAsia" w:hAnsiTheme="majorHAnsi" w:cstheme="majorBidi"/>
      <w:color w:val="5B9BD5" w:themeColor="accent1"/>
      <w:sz w:val="20"/>
      <w:szCs w:val="20"/>
    </w:rPr>
  </w:style>
  <w:style w:type="paragraph" w:styleId="Titre9">
    <w:name w:val="heading 9"/>
    <w:basedOn w:val="Normal"/>
    <w:next w:val="Normal"/>
    <w:link w:val="Titre9Car"/>
    <w:uiPriority w:val="9"/>
    <w:semiHidden/>
    <w:unhideWhenUsed/>
    <w:qFormat/>
    <w:rsid w:val="008B7099"/>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8B7099"/>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reCar">
    <w:name w:val="Titre Car"/>
    <w:basedOn w:val="Policepardfaut"/>
    <w:link w:val="Titre"/>
    <w:uiPriority w:val="10"/>
    <w:rsid w:val="008B7099"/>
    <w:rPr>
      <w:rFonts w:asciiTheme="majorHAnsi" w:eastAsiaTheme="majorEastAsia" w:hAnsiTheme="majorHAnsi" w:cstheme="majorBidi"/>
      <w:color w:val="323E4F" w:themeColor="text2" w:themeShade="BF"/>
      <w:spacing w:val="5"/>
      <w:sz w:val="52"/>
      <w:szCs w:val="52"/>
    </w:rPr>
  </w:style>
  <w:style w:type="paragraph" w:styleId="En-tte">
    <w:name w:val="header"/>
    <w:basedOn w:val="Normal"/>
    <w:link w:val="En-tteCar"/>
    <w:uiPriority w:val="99"/>
    <w:unhideWhenUsed/>
    <w:rsid w:val="008B7099"/>
    <w:pPr>
      <w:tabs>
        <w:tab w:val="center" w:pos="4536"/>
        <w:tab w:val="right" w:pos="9072"/>
      </w:tabs>
      <w:spacing w:after="0" w:line="240" w:lineRule="auto"/>
    </w:pPr>
  </w:style>
  <w:style w:type="character" w:customStyle="1" w:styleId="En-tteCar">
    <w:name w:val="En-tête Car"/>
    <w:basedOn w:val="Policepardfaut"/>
    <w:link w:val="En-tte"/>
    <w:uiPriority w:val="99"/>
    <w:rsid w:val="008B7099"/>
  </w:style>
  <w:style w:type="paragraph" w:styleId="Pieddepage">
    <w:name w:val="footer"/>
    <w:basedOn w:val="Normal"/>
    <w:link w:val="PieddepageCar"/>
    <w:uiPriority w:val="99"/>
    <w:unhideWhenUsed/>
    <w:rsid w:val="008B709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8B7099"/>
  </w:style>
  <w:style w:type="character" w:customStyle="1" w:styleId="Titre1Car">
    <w:name w:val="Titre 1 Car"/>
    <w:basedOn w:val="Policepardfaut"/>
    <w:link w:val="Titre1"/>
    <w:uiPriority w:val="9"/>
    <w:rsid w:val="008B7099"/>
    <w:rPr>
      <w:rFonts w:asciiTheme="majorHAnsi" w:eastAsiaTheme="majorEastAsia" w:hAnsiTheme="majorHAnsi" w:cstheme="majorBidi"/>
      <w:b/>
      <w:bCs/>
      <w:color w:val="2E74B5" w:themeColor="accent1" w:themeShade="BF"/>
      <w:sz w:val="28"/>
      <w:szCs w:val="28"/>
    </w:rPr>
  </w:style>
  <w:style w:type="character" w:customStyle="1" w:styleId="Titre2Car">
    <w:name w:val="Titre 2 Car"/>
    <w:basedOn w:val="Policepardfaut"/>
    <w:link w:val="Titre2"/>
    <w:uiPriority w:val="9"/>
    <w:rsid w:val="008B7099"/>
    <w:rPr>
      <w:rFonts w:asciiTheme="majorHAnsi" w:eastAsiaTheme="majorEastAsia" w:hAnsiTheme="majorHAnsi" w:cstheme="majorBidi"/>
      <w:b/>
      <w:bCs/>
      <w:color w:val="5B9BD5" w:themeColor="accent1"/>
      <w:sz w:val="26"/>
      <w:szCs w:val="26"/>
    </w:rPr>
  </w:style>
  <w:style w:type="character" w:customStyle="1" w:styleId="Titre3Car">
    <w:name w:val="Titre 3 Car"/>
    <w:basedOn w:val="Policepardfaut"/>
    <w:link w:val="Titre3"/>
    <w:uiPriority w:val="9"/>
    <w:rsid w:val="008B7099"/>
    <w:rPr>
      <w:rFonts w:asciiTheme="majorHAnsi" w:eastAsiaTheme="majorEastAsia" w:hAnsiTheme="majorHAnsi" w:cstheme="majorBidi"/>
      <w:b/>
      <w:bCs/>
      <w:color w:val="5B9BD5" w:themeColor="accent1"/>
    </w:rPr>
  </w:style>
  <w:style w:type="character" w:customStyle="1" w:styleId="Titre4Car">
    <w:name w:val="Titre 4 Car"/>
    <w:basedOn w:val="Policepardfaut"/>
    <w:link w:val="Titre4"/>
    <w:uiPriority w:val="9"/>
    <w:rsid w:val="008B7099"/>
    <w:rPr>
      <w:rFonts w:asciiTheme="majorHAnsi" w:eastAsiaTheme="majorEastAsia" w:hAnsiTheme="majorHAnsi" w:cstheme="majorBidi"/>
      <w:b/>
      <w:bCs/>
      <w:i/>
      <w:iCs/>
      <w:color w:val="5B9BD5" w:themeColor="accent1"/>
    </w:rPr>
  </w:style>
  <w:style w:type="character" w:customStyle="1" w:styleId="Titre5Car">
    <w:name w:val="Titre 5 Car"/>
    <w:basedOn w:val="Policepardfaut"/>
    <w:link w:val="Titre5"/>
    <w:uiPriority w:val="9"/>
    <w:semiHidden/>
    <w:rsid w:val="008B7099"/>
    <w:rPr>
      <w:rFonts w:asciiTheme="majorHAnsi" w:eastAsiaTheme="majorEastAsia" w:hAnsiTheme="majorHAnsi" w:cstheme="majorBidi"/>
      <w:color w:val="1F4D78" w:themeColor="accent1" w:themeShade="7F"/>
    </w:rPr>
  </w:style>
  <w:style w:type="character" w:customStyle="1" w:styleId="Titre6Car">
    <w:name w:val="Titre 6 Car"/>
    <w:basedOn w:val="Policepardfaut"/>
    <w:link w:val="Titre6"/>
    <w:uiPriority w:val="9"/>
    <w:semiHidden/>
    <w:rsid w:val="008B7099"/>
    <w:rPr>
      <w:rFonts w:asciiTheme="majorHAnsi" w:eastAsiaTheme="majorEastAsia" w:hAnsiTheme="majorHAnsi" w:cstheme="majorBidi"/>
      <w:i/>
      <w:iCs/>
      <w:color w:val="1F4D78" w:themeColor="accent1" w:themeShade="7F"/>
    </w:rPr>
  </w:style>
  <w:style w:type="character" w:customStyle="1" w:styleId="Titre7Car">
    <w:name w:val="Titre 7 Car"/>
    <w:basedOn w:val="Policepardfaut"/>
    <w:link w:val="Titre7"/>
    <w:uiPriority w:val="9"/>
    <w:semiHidden/>
    <w:rsid w:val="008B7099"/>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8B7099"/>
    <w:rPr>
      <w:rFonts w:asciiTheme="majorHAnsi" w:eastAsiaTheme="majorEastAsia" w:hAnsiTheme="majorHAnsi" w:cstheme="majorBidi"/>
      <w:color w:val="5B9BD5" w:themeColor="accent1"/>
      <w:sz w:val="20"/>
      <w:szCs w:val="20"/>
    </w:rPr>
  </w:style>
  <w:style w:type="character" w:customStyle="1" w:styleId="Titre9Car">
    <w:name w:val="Titre 9 Car"/>
    <w:basedOn w:val="Policepardfaut"/>
    <w:link w:val="Titre9"/>
    <w:uiPriority w:val="9"/>
    <w:semiHidden/>
    <w:rsid w:val="008B7099"/>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rsid w:val="008B7099"/>
    <w:pPr>
      <w:spacing w:line="240" w:lineRule="auto"/>
    </w:pPr>
    <w:rPr>
      <w:b/>
      <w:bCs/>
      <w:color w:val="5B9BD5" w:themeColor="accent1"/>
      <w:sz w:val="18"/>
      <w:szCs w:val="18"/>
    </w:rPr>
  </w:style>
  <w:style w:type="paragraph" w:styleId="Sous-titre">
    <w:name w:val="Subtitle"/>
    <w:basedOn w:val="Normal"/>
    <w:next w:val="Normal"/>
    <w:link w:val="Sous-titreCar"/>
    <w:uiPriority w:val="11"/>
    <w:qFormat/>
    <w:rsid w:val="008B7099"/>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ous-titreCar">
    <w:name w:val="Sous-titre Car"/>
    <w:basedOn w:val="Policepardfaut"/>
    <w:link w:val="Sous-titre"/>
    <w:uiPriority w:val="11"/>
    <w:rsid w:val="008B7099"/>
    <w:rPr>
      <w:rFonts w:asciiTheme="majorHAnsi" w:eastAsiaTheme="majorEastAsia" w:hAnsiTheme="majorHAnsi" w:cstheme="majorBidi"/>
      <w:i/>
      <w:iCs/>
      <w:color w:val="5B9BD5" w:themeColor="accent1"/>
      <w:spacing w:val="15"/>
      <w:sz w:val="24"/>
      <w:szCs w:val="24"/>
    </w:rPr>
  </w:style>
  <w:style w:type="character" w:styleId="lev">
    <w:name w:val="Strong"/>
    <w:basedOn w:val="Policepardfaut"/>
    <w:uiPriority w:val="22"/>
    <w:qFormat/>
    <w:rsid w:val="008B7099"/>
    <w:rPr>
      <w:b/>
      <w:bCs/>
    </w:rPr>
  </w:style>
  <w:style w:type="character" w:styleId="Accentuation">
    <w:name w:val="Emphasis"/>
    <w:basedOn w:val="Policepardfaut"/>
    <w:uiPriority w:val="20"/>
    <w:qFormat/>
    <w:rsid w:val="008B7099"/>
    <w:rPr>
      <w:i/>
      <w:iCs/>
    </w:rPr>
  </w:style>
  <w:style w:type="paragraph" w:styleId="Sansinterligne">
    <w:name w:val="No Spacing"/>
    <w:uiPriority w:val="1"/>
    <w:qFormat/>
    <w:rsid w:val="008B7099"/>
    <w:pPr>
      <w:spacing w:after="0" w:line="240" w:lineRule="auto"/>
    </w:pPr>
  </w:style>
  <w:style w:type="paragraph" w:styleId="Citation">
    <w:name w:val="Quote"/>
    <w:basedOn w:val="Normal"/>
    <w:next w:val="Normal"/>
    <w:link w:val="CitationCar"/>
    <w:uiPriority w:val="29"/>
    <w:qFormat/>
    <w:rsid w:val="008B7099"/>
    <w:rPr>
      <w:i/>
      <w:iCs/>
      <w:color w:val="000000" w:themeColor="text1"/>
    </w:rPr>
  </w:style>
  <w:style w:type="character" w:customStyle="1" w:styleId="CitationCar">
    <w:name w:val="Citation Car"/>
    <w:basedOn w:val="Policepardfaut"/>
    <w:link w:val="Citation"/>
    <w:uiPriority w:val="29"/>
    <w:rsid w:val="008B7099"/>
    <w:rPr>
      <w:i/>
      <w:iCs/>
      <w:color w:val="000000" w:themeColor="text1"/>
    </w:rPr>
  </w:style>
  <w:style w:type="paragraph" w:styleId="Citationintense">
    <w:name w:val="Intense Quote"/>
    <w:basedOn w:val="Normal"/>
    <w:next w:val="Normal"/>
    <w:link w:val="CitationintenseCar"/>
    <w:uiPriority w:val="30"/>
    <w:qFormat/>
    <w:rsid w:val="008B7099"/>
    <w:pPr>
      <w:pBdr>
        <w:bottom w:val="single" w:sz="4" w:space="4" w:color="5B9BD5" w:themeColor="accent1"/>
      </w:pBdr>
      <w:spacing w:before="200" w:after="280"/>
      <w:ind w:left="936" w:right="936"/>
    </w:pPr>
    <w:rPr>
      <w:b/>
      <w:bCs/>
      <w:i/>
      <w:iCs/>
      <w:color w:val="5B9BD5" w:themeColor="accent1"/>
    </w:rPr>
  </w:style>
  <w:style w:type="character" w:customStyle="1" w:styleId="CitationintenseCar">
    <w:name w:val="Citation intense Car"/>
    <w:basedOn w:val="Policepardfaut"/>
    <w:link w:val="Citationintense"/>
    <w:uiPriority w:val="30"/>
    <w:rsid w:val="008B7099"/>
    <w:rPr>
      <w:b/>
      <w:bCs/>
      <w:i/>
      <w:iCs/>
      <w:color w:val="5B9BD5" w:themeColor="accent1"/>
    </w:rPr>
  </w:style>
  <w:style w:type="character" w:styleId="Emphaseple">
    <w:name w:val="Subtle Emphasis"/>
    <w:basedOn w:val="Policepardfaut"/>
    <w:uiPriority w:val="19"/>
    <w:qFormat/>
    <w:rsid w:val="008B7099"/>
    <w:rPr>
      <w:i/>
      <w:iCs/>
      <w:color w:val="808080" w:themeColor="text1" w:themeTint="7F"/>
    </w:rPr>
  </w:style>
  <w:style w:type="character" w:styleId="Emphaseintense">
    <w:name w:val="Intense Emphasis"/>
    <w:basedOn w:val="Policepardfaut"/>
    <w:uiPriority w:val="21"/>
    <w:qFormat/>
    <w:rsid w:val="008B7099"/>
    <w:rPr>
      <w:b/>
      <w:bCs/>
      <w:i/>
      <w:iCs/>
      <w:color w:val="5B9BD5" w:themeColor="accent1"/>
    </w:rPr>
  </w:style>
  <w:style w:type="character" w:styleId="Rfrenceple">
    <w:name w:val="Subtle Reference"/>
    <w:basedOn w:val="Policepardfaut"/>
    <w:uiPriority w:val="31"/>
    <w:qFormat/>
    <w:rsid w:val="008B7099"/>
    <w:rPr>
      <w:smallCaps/>
      <w:color w:val="ED7D31" w:themeColor="accent2"/>
      <w:u w:val="single"/>
    </w:rPr>
  </w:style>
  <w:style w:type="character" w:styleId="Rfrenceintense">
    <w:name w:val="Intense Reference"/>
    <w:basedOn w:val="Policepardfaut"/>
    <w:uiPriority w:val="32"/>
    <w:qFormat/>
    <w:rsid w:val="008B7099"/>
    <w:rPr>
      <w:b/>
      <w:bCs/>
      <w:smallCaps/>
      <w:color w:val="ED7D31" w:themeColor="accent2"/>
      <w:spacing w:val="5"/>
      <w:u w:val="single"/>
    </w:rPr>
  </w:style>
  <w:style w:type="character" w:styleId="Titredulivre">
    <w:name w:val="Book Title"/>
    <w:basedOn w:val="Policepardfaut"/>
    <w:uiPriority w:val="33"/>
    <w:qFormat/>
    <w:rsid w:val="008B7099"/>
    <w:rPr>
      <w:b/>
      <w:bCs/>
      <w:smallCaps/>
      <w:spacing w:val="5"/>
    </w:rPr>
  </w:style>
  <w:style w:type="paragraph" w:styleId="En-ttedetabledesmatires">
    <w:name w:val="TOC Heading"/>
    <w:basedOn w:val="Titre1"/>
    <w:next w:val="Normal"/>
    <w:uiPriority w:val="39"/>
    <w:semiHidden/>
    <w:unhideWhenUsed/>
    <w:qFormat/>
    <w:rsid w:val="008B7099"/>
    <w:pPr>
      <w:outlineLvl w:val="9"/>
    </w:pPr>
  </w:style>
  <w:style w:type="paragraph" w:styleId="Paragraphedeliste">
    <w:name w:val="List Paragraph"/>
    <w:basedOn w:val="Normal"/>
    <w:uiPriority w:val="34"/>
    <w:qFormat/>
    <w:rsid w:val="008A1075"/>
    <w:pPr>
      <w:ind w:left="720"/>
      <w:contextualSpacing/>
    </w:pPr>
  </w:style>
  <w:style w:type="character" w:styleId="Marquedecommentaire">
    <w:name w:val="annotation reference"/>
    <w:basedOn w:val="Policepardfaut"/>
    <w:uiPriority w:val="99"/>
    <w:semiHidden/>
    <w:unhideWhenUsed/>
    <w:rsid w:val="00963791"/>
    <w:rPr>
      <w:sz w:val="16"/>
      <w:szCs w:val="16"/>
    </w:rPr>
  </w:style>
  <w:style w:type="paragraph" w:styleId="Commentaire">
    <w:name w:val="annotation text"/>
    <w:basedOn w:val="Normal"/>
    <w:link w:val="CommentaireCar"/>
    <w:uiPriority w:val="99"/>
    <w:semiHidden/>
    <w:unhideWhenUsed/>
    <w:rsid w:val="00963791"/>
    <w:pPr>
      <w:spacing w:line="240" w:lineRule="auto"/>
    </w:pPr>
    <w:rPr>
      <w:sz w:val="20"/>
      <w:szCs w:val="20"/>
    </w:rPr>
  </w:style>
  <w:style w:type="character" w:customStyle="1" w:styleId="CommentaireCar">
    <w:name w:val="Commentaire Car"/>
    <w:basedOn w:val="Policepardfaut"/>
    <w:link w:val="Commentaire"/>
    <w:uiPriority w:val="99"/>
    <w:semiHidden/>
    <w:rsid w:val="00963791"/>
    <w:rPr>
      <w:sz w:val="20"/>
      <w:szCs w:val="20"/>
    </w:rPr>
  </w:style>
  <w:style w:type="paragraph" w:styleId="Objetducommentaire">
    <w:name w:val="annotation subject"/>
    <w:basedOn w:val="Commentaire"/>
    <w:next w:val="Commentaire"/>
    <w:link w:val="ObjetducommentaireCar"/>
    <w:uiPriority w:val="99"/>
    <w:semiHidden/>
    <w:unhideWhenUsed/>
    <w:rsid w:val="00963791"/>
    <w:rPr>
      <w:b/>
      <w:bCs/>
    </w:rPr>
  </w:style>
  <w:style w:type="character" w:customStyle="1" w:styleId="ObjetducommentaireCar">
    <w:name w:val="Objet du commentaire Car"/>
    <w:basedOn w:val="CommentaireCar"/>
    <w:link w:val="Objetducommentaire"/>
    <w:uiPriority w:val="99"/>
    <w:semiHidden/>
    <w:rsid w:val="00963791"/>
    <w:rPr>
      <w:b/>
      <w:bCs/>
      <w:sz w:val="20"/>
      <w:szCs w:val="20"/>
    </w:rPr>
  </w:style>
  <w:style w:type="paragraph" w:styleId="Textedebulles">
    <w:name w:val="Balloon Text"/>
    <w:basedOn w:val="Normal"/>
    <w:link w:val="TextedebullesCar"/>
    <w:uiPriority w:val="99"/>
    <w:semiHidden/>
    <w:unhideWhenUsed/>
    <w:rsid w:val="0096379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963791"/>
    <w:rPr>
      <w:rFonts w:ascii="Segoe UI" w:hAnsi="Segoe UI" w:cs="Segoe UI"/>
      <w:sz w:val="18"/>
      <w:szCs w:val="18"/>
    </w:rPr>
  </w:style>
  <w:style w:type="paragraph" w:styleId="Corpsdetexte">
    <w:name w:val="Body Text"/>
    <w:aliases w:val="Corps de texte convention"/>
    <w:basedOn w:val="Normal"/>
    <w:link w:val="CorpsdetexteCar"/>
    <w:uiPriority w:val="99"/>
    <w:unhideWhenUsed/>
    <w:rsid w:val="00FB40F6"/>
    <w:pPr>
      <w:spacing w:after="120"/>
    </w:pPr>
    <w:rPr>
      <w:rFonts w:eastAsiaTheme="minorHAnsi"/>
    </w:rPr>
  </w:style>
  <w:style w:type="character" w:customStyle="1" w:styleId="CorpsdetexteCar">
    <w:name w:val="Corps de texte Car"/>
    <w:aliases w:val="Corps de texte convention Car"/>
    <w:basedOn w:val="Policepardfaut"/>
    <w:link w:val="Corpsdetexte"/>
    <w:uiPriority w:val="99"/>
    <w:rsid w:val="00FB40F6"/>
    <w:rPr>
      <w:rFonts w:eastAsiaTheme="minorHAnsi"/>
    </w:rPr>
  </w:style>
  <w:style w:type="table" w:styleId="Grilledutableau">
    <w:name w:val="Table Grid"/>
    <w:basedOn w:val="TableauNormal"/>
    <w:uiPriority w:val="39"/>
    <w:rsid w:val="00950F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Grille1Clair-Accentuation1">
    <w:name w:val="Grid Table 1 Light Accent 1"/>
    <w:basedOn w:val="TableauNormal"/>
    <w:uiPriority w:val="46"/>
    <w:rsid w:val="007264E0"/>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leauGrille2-Accentuation5">
    <w:name w:val="Grid Table 2 Accent 5"/>
    <w:basedOn w:val="TableauNormal"/>
    <w:uiPriority w:val="47"/>
    <w:rsid w:val="00D662CE"/>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NormalWeb">
    <w:name w:val="Normal (Web)"/>
    <w:basedOn w:val="Normal"/>
    <w:uiPriority w:val="99"/>
    <w:semiHidden/>
    <w:unhideWhenUsed/>
    <w:rsid w:val="003639E8"/>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101561">
      <w:bodyDiv w:val="1"/>
      <w:marLeft w:val="0"/>
      <w:marRight w:val="0"/>
      <w:marTop w:val="0"/>
      <w:marBottom w:val="0"/>
      <w:divBdr>
        <w:top w:val="none" w:sz="0" w:space="0" w:color="auto"/>
        <w:left w:val="none" w:sz="0" w:space="0" w:color="auto"/>
        <w:bottom w:val="none" w:sz="0" w:space="0" w:color="auto"/>
        <w:right w:val="none" w:sz="0" w:space="0" w:color="auto"/>
      </w:divBdr>
    </w:div>
    <w:div w:id="222643617">
      <w:bodyDiv w:val="1"/>
      <w:marLeft w:val="0"/>
      <w:marRight w:val="0"/>
      <w:marTop w:val="0"/>
      <w:marBottom w:val="0"/>
      <w:divBdr>
        <w:top w:val="none" w:sz="0" w:space="0" w:color="auto"/>
        <w:left w:val="none" w:sz="0" w:space="0" w:color="auto"/>
        <w:bottom w:val="none" w:sz="0" w:space="0" w:color="auto"/>
        <w:right w:val="none" w:sz="0" w:space="0" w:color="auto"/>
      </w:divBdr>
    </w:div>
    <w:div w:id="279337709">
      <w:bodyDiv w:val="1"/>
      <w:marLeft w:val="0"/>
      <w:marRight w:val="0"/>
      <w:marTop w:val="0"/>
      <w:marBottom w:val="0"/>
      <w:divBdr>
        <w:top w:val="none" w:sz="0" w:space="0" w:color="auto"/>
        <w:left w:val="none" w:sz="0" w:space="0" w:color="auto"/>
        <w:bottom w:val="none" w:sz="0" w:space="0" w:color="auto"/>
        <w:right w:val="none" w:sz="0" w:space="0" w:color="auto"/>
      </w:divBdr>
    </w:div>
    <w:div w:id="305673468">
      <w:bodyDiv w:val="1"/>
      <w:marLeft w:val="0"/>
      <w:marRight w:val="0"/>
      <w:marTop w:val="0"/>
      <w:marBottom w:val="0"/>
      <w:divBdr>
        <w:top w:val="none" w:sz="0" w:space="0" w:color="auto"/>
        <w:left w:val="none" w:sz="0" w:space="0" w:color="auto"/>
        <w:bottom w:val="none" w:sz="0" w:space="0" w:color="auto"/>
        <w:right w:val="none" w:sz="0" w:space="0" w:color="auto"/>
      </w:divBdr>
    </w:div>
    <w:div w:id="466167618">
      <w:bodyDiv w:val="1"/>
      <w:marLeft w:val="0"/>
      <w:marRight w:val="0"/>
      <w:marTop w:val="0"/>
      <w:marBottom w:val="0"/>
      <w:divBdr>
        <w:top w:val="none" w:sz="0" w:space="0" w:color="auto"/>
        <w:left w:val="none" w:sz="0" w:space="0" w:color="auto"/>
        <w:bottom w:val="none" w:sz="0" w:space="0" w:color="auto"/>
        <w:right w:val="none" w:sz="0" w:space="0" w:color="auto"/>
      </w:divBdr>
    </w:div>
    <w:div w:id="509560744">
      <w:bodyDiv w:val="1"/>
      <w:marLeft w:val="0"/>
      <w:marRight w:val="0"/>
      <w:marTop w:val="0"/>
      <w:marBottom w:val="0"/>
      <w:divBdr>
        <w:top w:val="none" w:sz="0" w:space="0" w:color="auto"/>
        <w:left w:val="none" w:sz="0" w:space="0" w:color="auto"/>
        <w:bottom w:val="none" w:sz="0" w:space="0" w:color="auto"/>
        <w:right w:val="none" w:sz="0" w:space="0" w:color="auto"/>
      </w:divBdr>
    </w:div>
    <w:div w:id="601501126">
      <w:bodyDiv w:val="1"/>
      <w:marLeft w:val="0"/>
      <w:marRight w:val="0"/>
      <w:marTop w:val="0"/>
      <w:marBottom w:val="0"/>
      <w:divBdr>
        <w:top w:val="none" w:sz="0" w:space="0" w:color="auto"/>
        <w:left w:val="none" w:sz="0" w:space="0" w:color="auto"/>
        <w:bottom w:val="none" w:sz="0" w:space="0" w:color="auto"/>
        <w:right w:val="none" w:sz="0" w:space="0" w:color="auto"/>
      </w:divBdr>
    </w:div>
    <w:div w:id="787892576">
      <w:bodyDiv w:val="1"/>
      <w:marLeft w:val="0"/>
      <w:marRight w:val="0"/>
      <w:marTop w:val="0"/>
      <w:marBottom w:val="0"/>
      <w:divBdr>
        <w:top w:val="none" w:sz="0" w:space="0" w:color="auto"/>
        <w:left w:val="none" w:sz="0" w:space="0" w:color="auto"/>
        <w:bottom w:val="none" w:sz="0" w:space="0" w:color="auto"/>
        <w:right w:val="none" w:sz="0" w:space="0" w:color="auto"/>
      </w:divBdr>
      <w:divsChild>
        <w:div w:id="343435971">
          <w:marLeft w:val="274"/>
          <w:marRight w:val="0"/>
          <w:marTop w:val="0"/>
          <w:marBottom w:val="0"/>
          <w:divBdr>
            <w:top w:val="none" w:sz="0" w:space="0" w:color="auto"/>
            <w:left w:val="none" w:sz="0" w:space="0" w:color="auto"/>
            <w:bottom w:val="none" w:sz="0" w:space="0" w:color="auto"/>
            <w:right w:val="none" w:sz="0" w:space="0" w:color="auto"/>
          </w:divBdr>
        </w:div>
        <w:div w:id="1648900118">
          <w:marLeft w:val="274"/>
          <w:marRight w:val="0"/>
          <w:marTop w:val="0"/>
          <w:marBottom w:val="0"/>
          <w:divBdr>
            <w:top w:val="none" w:sz="0" w:space="0" w:color="auto"/>
            <w:left w:val="none" w:sz="0" w:space="0" w:color="auto"/>
            <w:bottom w:val="none" w:sz="0" w:space="0" w:color="auto"/>
            <w:right w:val="none" w:sz="0" w:space="0" w:color="auto"/>
          </w:divBdr>
        </w:div>
        <w:div w:id="205067914">
          <w:marLeft w:val="274"/>
          <w:marRight w:val="0"/>
          <w:marTop w:val="0"/>
          <w:marBottom w:val="0"/>
          <w:divBdr>
            <w:top w:val="none" w:sz="0" w:space="0" w:color="auto"/>
            <w:left w:val="none" w:sz="0" w:space="0" w:color="auto"/>
            <w:bottom w:val="none" w:sz="0" w:space="0" w:color="auto"/>
            <w:right w:val="none" w:sz="0" w:space="0" w:color="auto"/>
          </w:divBdr>
        </w:div>
        <w:div w:id="767963068">
          <w:marLeft w:val="274"/>
          <w:marRight w:val="0"/>
          <w:marTop w:val="0"/>
          <w:marBottom w:val="0"/>
          <w:divBdr>
            <w:top w:val="none" w:sz="0" w:space="0" w:color="auto"/>
            <w:left w:val="none" w:sz="0" w:space="0" w:color="auto"/>
            <w:bottom w:val="none" w:sz="0" w:space="0" w:color="auto"/>
            <w:right w:val="none" w:sz="0" w:space="0" w:color="auto"/>
          </w:divBdr>
        </w:div>
        <w:div w:id="1879052030">
          <w:marLeft w:val="274"/>
          <w:marRight w:val="0"/>
          <w:marTop w:val="0"/>
          <w:marBottom w:val="0"/>
          <w:divBdr>
            <w:top w:val="none" w:sz="0" w:space="0" w:color="auto"/>
            <w:left w:val="none" w:sz="0" w:space="0" w:color="auto"/>
            <w:bottom w:val="none" w:sz="0" w:space="0" w:color="auto"/>
            <w:right w:val="none" w:sz="0" w:space="0" w:color="auto"/>
          </w:divBdr>
        </w:div>
      </w:divsChild>
    </w:div>
    <w:div w:id="834488871">
      <w:bodyDiv w:val="1"/>
      <w:marLeft w:val="0"/>
      <w:marRight w:val="0"/>
      <w:marTop w:val="0"/>
      <w:marBottom w:val="0"/>
      <w:divBdr>
        <w:top w:val="none" w:sz="0" w:space="0" w:color="auto"/>
        <w:left w:val="none" w:sz="0" w:space="0" w:color="auto"/>
        <w:bottom w:val="none" w:sz="0" w:space="0" w:color="auto"/>
        <w:right w:val="none" w:sz="0" w:space="0" w:color="auto"/>
      </w:divBdr>
    </w:div>
    <w:div w:id="905067081">
      <w:bodyDiv w:val="1"/>
      <w:marLeft w:val="0"/>
      <w:marRight w:val="0"/>
      <w:marTop w:val="0"/>
      <w:marBottom w:val="0"/>
      <w:divBdr>
        <w:top w:val="none" w:sz="0" w:space="0" w:color="auto"/>
        <w:left w:val="none" w:sz="0" w:space="0" w:color="auto"/>
        <w:bottom w:val="none" w:sz="0" w:space="0" w:color="auto"/>
        <w:right w:val="none" w:sz="0" w:space="0" w:color="auto"/>
      </w:divBdr>
    </w:div>
    <w:div w:id="942617854">
      <w:bodyDiv w:val="1"/>
      <w:marLeft w:val="0"/>
      <w:marRight w:val="0"/>
      <w:marTop w:val="0"/>
      <w:marBottom w:val="0"/>
      <w:divBdr>
        <w:top w:val="none" w:sz="0" w:space="0" w:color="auto"/>
        <w:left w:val="none" w:sz="0" w:space="0" w:color="auto"/>
        <w:bottom w:val="none" w:sz="0" w:space="0" w:color="auto"/>
        <w:right w:val="none" w:sz="0" w:space="0" w:color="auto"/>
      </w:divBdr>
    </w:div>
    <w:div w:id="966819486">
      <w:bodyDiv w:val="1"/>
      <w:marLeft w:val="0"/>
      <w:marRight w:val="0"/>
      <w:marTop w:val="0"/>
      <w:marBottom w:val="0"/>
      <w:divBdr>
        <w:top w:val="none" w:sz="0" w:space="0" w:color="auto"/>
        <w:left w:val="none" w:sz="0" w:space="0" w:color="auto"/>
        <w:bottom w:val="none" w:sz="0" w:space="0" w:color="auto"/>
        <w:right w:val="none" w:sz="0" w:space="0" w:color="auto"/>
      </w:divBdr>
      <w:divsChild>
        <w:div w:id="1615675331">
          <w:marLeft w:val="274"/>
          <w:marRight w:val="0"/>
          <w:marTop w:val="0"/>
          <w:marBottom w:val="0"/>
          <w:divBdr>
            <w:top w:val="none" w:sz="0" w:space="0" w:color="auto"/>
            <w:left w:val="none" w:sz="0" w:space="0" w:color="auto"/>
            <w:bottom w:val="none" w:sz="0" w:space="0" w:color="auto"/>
            <w:right w:val="none" w:sz="0" w:space="0" w:color="auto"/>
          </w:divBdr>
        </w:div>
        <w:div w:id="1252621877">
          <w:marLeft w:val="274"/>
          <w:marRight w:val="0"/>
          <w:marTop w:val="0"/>
          <w:marBottom w:val="0"/>
          <w:divBdr>
            <w:top w:val="none" w:sz="0" w:space="0" w:color="auto"/>
            <w:left w:val="none" w:sz="0" w:space="0" w:color="auto"/>
            <w:bottom w:val="none" w:sz="0" w:space="0" w:color="auto"/>
            <w:right w:val="none" w:sz="0" w:space="0" w:color="auto"/>
          </w:divBdr>
        </w:div>
        <w:div w:id="919291023">
          <w:marLeft w:val="274"/>
          <w:marRight w:val="0"/>
          <w:marTop w:val="0"/>
          <w:marBottom w:val="0"/>
          <w:divBdr>
            <w:top w:val="none" w:sz="0" w:space="0" w:color="auto"/>
            <w:left w:val="none" w:sz="0" w:space="0" w:color="auto"/>
            <w:bottom w:val="none" w:sz="0" w:space="0" w:color="auto"/>
            <w:right w:val="none" w:sz="0" w:space="0" w:color="auto"/>
          </w:divBdr>
        </w:div>
        <w:div w:id="1020005435">
          <w:marLeft w:val="274"/>
          <w:marRight w:val="0"/>
          <w:marTop w:val="0"/>
          <w:marBottom w:val="0"/>
          <w:divBdr>
            <w:top w:val="none" w:sz="0" w:space="0" w:color="auto"/>
            <w:left w:val="none" w:sz="0" w:space="0" w:color="auto"/>
            <w:bottom w:val="none" w:sz="0" w:space="0" w:color="auto"/>
            <w:right w:val="none" w:sz="0" w:space="0" w:color="auto"/>
          </w:divBdr>
        </w:div>
      </w:divsChild>
    </w:div>
    <w:div w:id="1002006510">
      <w:bodyDiv w:val="1"/>
      <w:marLeft w:val="0"/>
      <w:marRight w:val="0"/>
      <w:marTop w:val="0"/>
      <w:marBottom w:val="0"/>
      <w:divBdr>
        <w:top w:val="none" w:sz="0" w:space="0" w:color="auto"/>
        <w:left w:val="none" w:sz="0" w:space="0" w:color="auto"/>
        <w:bottom w:val="none" w:sz="0" w:space="0" w:color="auto"/>
        <w:right w:val="none" w:sz="0" w:space="0" w:color="auto"/>
      </w:divBdr>
    </w:div>
    <w:div w:id="1051272847">
      <w:bodyDiv w:val="1"/>
      <w:marLeft w:val="0"/>
      <w:marRight w:val="0"/>
      <w:marTop w:val="0"/>
      <w:marBottom w:val="0"/>
      <w:divBdr>
        <w:top w:val="none" w:sz="0" w:space="0" w:color="auto"/>
        <w:left w:val="none" w:sz="0" w:space="0" w:color="auto"/>
        <w:bottom w:val="none" w:sz="0" w:space="0" w:color="auto"/>
        <w:right w:val="none" w:sz="0" w:space="0" w:color="auto"/>
      </w:divBdr>
    </w:div>
    <w:div w:id="1064641872">
      <w:bodyDiv w:val="1"/>
      <w:marLeft w:val="0"/>
      <w:marRight w:val="0"/>
      <w:marTop w:val="0"/>
      <w:marBottom w:val="0"/>
      <w:divBdr>
        <w:top w:val="none" w:sz="0" w:space="0" w:color="auto"/>
        <w:left w:val="none" w:sz="0" w:space="0" w:color="auto"/>
        <w:bottom w:val="none" w:sz="0" w:space="0" w:color="auto"/>
        <w:right w:val="none" w:sz="0" w:space="0" w:color="auto"/>
      </w:divBdr>
    </w:div>
    <w:div w:id="1130048312">
      <w:bodyDiv w:val="1"/>
      <w:marLeft w:val="0"/>
      <w:marRight w:val="0"/>
      <w:marTop w:val="0"/>
      <w:marBottom w:val="0"/>
      <w:divBdr>
        <w:top w:val="none" w:sz="0" w:space="0" w:color="auto"/>
        <w:left w:val="none" w:sz="0" w:space="0" w:color="auto"/>
        <w:bottom w:val="none" w:sz="0" w:space="0" w:color="auto"/>
        <w:right w:val="none" w:sz="0" w:space="0" w:color="auto"/>
      </w:divBdr>
      <w:divsChild>
        <w:div w:id="724793500">
          <w:marLeft w:val="274"/>
          <w:marRight w:val="0"/>
          <w:marTop w:val="0"/>
          <w:marBottom w:val="0"/>
          <w:divBdr>
            <w:top w:val="none" w:sz="0" w:space="0" w:color="auto"/>
            <w:left w:val="none" w:sz="0" w:space="0" w:color="auto"/>
            <w:bottom w:val="none" w:sz="0" w:space="0" w:color="auto"/>
            <w:right w:val="none" w:sz="0" w:space="0" w:color="auto"/>
          </w:divBdr>
        </w:div>
        <w:div w:id="1081290507">
          <w:marLeft w:val="274"/>
          <w:marRight w:val="0"/>
          <w:marTop w:val="0"/>
          <w:marBottom w:val="0"/>
          <w:divBdr>
            <w:top w:val="none" w:sz="0" w:space="0" w:color="auto"/>
            <w:left w:val="none" w:sz="0" w:space="0" w:color="auto"/>
            <w:bottom w:val="none" w:sz="0" w:space="0" w:color="auto"/>
            <w:right w:val="none" w:sz="0" w:space="0" w:color="auto"/>
          </w:divBdr>
        </w:div>
        <w:div w:id="952593484">
          <w:marLeft w:val="274"/>
          <w:marRight w:val="0"/>
          <w:marTop w:val="0"/>
          <w:marBottom w:val="0"/>
          <w:divBdr>
            <w:top w:val="none" w:sz="0" w:space="0" w:color="auto"/>
            <w:left w:val="none" w:sz="0" w:space="0" w:color="auto"/>
            <w:bottom w:val="none" w:sz="0" w:space="0" w:color="auto"/>
            <w:right w:val="none" w:sz="0" w:space="0" w:color="auto"/>
          </w:divBdr>
        </w:div>
        <w:div w:id="392849824">
          <w:marLeft w:val="274"/>
          <w:marRight w:val="0"/>
          <w:marTop w:val="0"/>
          <w:marBottom w:val="0"/>
          <w:divBdr>
            <w:top w:val="none" w:sz="0" w:space="0" w:color="auto"/>
            <w:left w:val="none" w:sz="0" w:space="0" w:color="auto"/>
            <w:bottom w:val="none" w:sz="0" w:space="0" w:color="auto"/>
            <w:right w:val="none" w:sz="0" w:space="0" w:color="auto"/>
          </w:divBdr>
        </w:div>
      </w:divsChild>
    </w:div>
    <w:div w:id="1131433981">
      <w:bodyDiv w:val="1"/>
      <w:marLeft w:val="0"/>
      <w:marRight w:val="0"/>
      <w:marTop w:val="0"/>
      <w:marBottom w:val="0"/>
      <w:divBdr>
        <w:top w:val="none" w:sz="0" w:space="0" w:color="auto"/>
        <w:left w:val="none" w:sz="0" w:space="0" w:color="auto"/>
        <w:bottom w:val="none" w:sz="0" w:space="0" w:color="auto"/>
        <w:right w:val="none" w:sz="0" w:space="0" w:color="auto"/>
      </w:divBdr>
    </w:div>
    <w:div w:id="1139417959">
      <w:bodyDiv w:val="1"/>
      <w:marLeft w:val="0"/>
      <w:marRight w:val="0"/>
      <w:marTop w:val="0"/>
      <w:marBottom w:val="0"/>
      <w:divBdr>
        <w:top w:val="none" w:sz="0" w:space="0" w:color="auto"/>
        <w:left w:val="none" w:sz="0" w:space="0" w:color="auto"/>
        <w:bottom w:val="none" w:sz="0" w:space="0" w:color="auto"/>
        <w:right w:val="none" w:sz="0" w:space="0" w:color="auto"/>
      </w:divBdr>
    </w:div>
    <w:div w:id="1190413374">
      <w:bodyDiv w:val="1"/>
      <w:marLeft w:val="0"/>
      <w:marRight w:val="0"/>
      <w:marTop w:val="0"/>
      <w:marBottom w:val="0"/>
      <w:divBdr>
        <w:top w:val="none" w:sz="0" w:space="0" w:color="auto"/>
        <w:left w:val="none" w:sz="0" w:space="0" w:color="auto"/>
        <w:bottom w:val="none" w:sz="0" w:space="0" w:color="auto"/>
        <w:right w:val="none" w:sz="0" w:space="0" w:color="auto"/>
      </w:divBdr>
    </w:div>
    <w:div w:id="1248881320">
      <w:bodyDiv w:val="1"/>
      <w:marLeft w:val="0"/>
      <w:marRight w:val="0"/>
      <w:marTop w:val="0"/>
      <w:marBottom w:val="0"/>
      <w:divBdr>
        <w:top w:val="none" w:sz="0" w:space="0" w:color="auto"/>
        <w:left w:val="none" w:sz="0" w:space="0" w:color="auto"/>
        <w:bottom w:val="none" w:sz="0" w:space="0" w:color="auto"/>
        <w:right w:val="none" w:sz="0" w:space="0" w:color="auto"/>
      </w:divBdr>
    </w:div>
    <w:div w:id="1292132738">
      <w:bodyDiv w:val="1"/>
      <w:marLeft w:val="0"/>
      <w:marRight w:val="0"/>
      <w:marTop w:val="0"/>
      <w:marBottom w:val="0"/>
      <w:divBdr>
        <w:top w:val="none" w:sz="0" w:space="0" w:color="auto"/>
        <w:left w:val="none" w:sz="0" w:space="0" w:color="auto"/>
        <w:bottom w:val="none" w:sz="0" w:space="0" w:color="auto"/>
        <w:right w:val="none" w:sz="0" w:space="0" w:color="auto"/>
      </w:divBdr>
    </w:div>
    <w:div w:id="1302885360">
      <w:bodyDiv w:val="1"/>
      <w:marLeft w:val="0"/>
      <w:marRight w:val="0"/>
      <w:marTop w:val="0"/>
      <w:marBottom w:val="0"/>
      <w:divBdr>
        <w:top w:val="none" w:sz="0" w:space="0" w:color="auto"/>
        <w:left w:val="none" w:sz="0" w:space="0" w:color="auto"/>
        <w:bottom w:val="none" w:sz="0" w:space="0" w:color="auto"/>
        <w:right w:val="none" w:sz="0" w:space="0" w:color="auto"/>
      </w:divBdr>
      <w:divsChild>
        <w:div w:id="667095918">
          <w:marLeft w:val="1699"/>
          <w:marRight w:val="0"/>
          <w:marTop w:val="120"/>
          <w:marBottom w:val="0"/>
          <w:divBdr>
            <w:top w:val="none" w:sz="0" w:space="0" w:color="auto"/>
            <w:left w:val="none" w:sz="0" w:space="0" w:color="auto"/>
            <w:bottom w:val="none" w:sz="0" w:space="0" w:color="auto"/>
            <w:right w:val="none" w:sz="0" w:space="0" w:color="auto"/>
          </w:divBdr>
        </w:div>
        <w:div w:id="1314487648">
          <w:marLeft w:val="1699"/>
          <w:marRight w:val="0"/>
          <w:marTop w:val="120"/>
          <w:marBottom w:val="0"/>
          <w:divBdr>
            <w:top w:val="none" w:sz="0" w:space="0" w:color="auto"/>
            <w:left w:val="none" w:sz="0" w:space="0" w:color="auto"/>
            <w:bottom w:val="none" w:sz="0" w:space="0" w:color="auto"/>
            <w:right w:val="none" w:sz="0" w:space="0" w:color="auto"/>
          </w:divBdr>
        </w:div>
        <w:div w:id="998190847">
          <w:marLeft w:val="1699"/>
          <w:marRight w:val="0"/>
          <w:marTop w:val="120"/>
          <w:marBottom w:val="0"/>
          <w:divBdr>
            <w:top w:val="none" w:sz="0" w:space="0" w:color="auto"/>
            <w:left w:val="none" w:sz="0" w:space="0" w:color="auto"/>
            <w:bottom w:val="none" w:sz="0" w:space="0" w:color="auto"/>
            <w:right w:val="none" w:sz="0" w:space="0" w:color="auto"/>
          </w:divBdr>
        </w:div>
        <w:div w:id="252513560">
          <w:marLeft w:val="1699"/>
          <w:marRight w:val="0"/>
          <w:marTop w:val="120"/>
          <w:marBottom w:val="0"/>
          <w:divBdr>
            <w:top w:val="none" w:sz="0" w:space="0" w:color="auto"/>
            <w:left w:val="none" w:sz="0" w:space="0" w:color="auto"/>
            <w:bottom w:val="none" w:sz="0" w:space="0" w:color="auto"/>
            <w:right w:val="none" w:sz="0" w:space="0" w:color="auto"/>
          </w:divBdr>
        </w:div>
        <w:div w:id="2043823094">
          <w:marLeft w:val="1699"/>
          <w:marRight w:val="0"/>
          <w:marTop w:val="120"/>
          <w:marBottom w:val="0"/>
          <w:divBdr>
            <w:top w:val="none" w:sz="0" w:space="0" w:color="auto"/>
            <w:left w:val="none" w:sz="0" w:space="0" w:color="auto"/>
            <w:bottom w:val="none" w:sz="0" w:space="0" w:color="auto"/>
            <w:right w:val="none" w:sz="0" w:space="0" w:color="auto"/>
          </w:divBdr>
        </w:div>
      </w:divsChild>
    </w:div>
    <w:div w:id="1332247587">
      <w:bodyDiv w:val="1"/>
      <w:marLeft w:val="0"/>
      <w:marRight w:val="0"/>
      <w:marTop w:val="0"/>
      <w:marBottom w:val="0"/>
      <w:divBdr>
        <w:top w:val="none" w:sz="0" w:space="0" w:color="auto"/>
        <w:left w:val="none" w:sz="0" w:space="0" w:color="auto"/>
        <w:bottom w:val="none" w:sz="0" w:space="0" w:color="auto"/>
        <w:right w:val="none" w:sz="0" w:space="0" w:color="auto"/>
      </w:divBdr>
    </w:div>
    <w:div w:id="1346008364">
      <w:bodyDiv w:val="1"/>
      <w:marLeft w:val="0"/>
      <w:marRight w:val="0"/>
      <w:marTop w:val="0"/>
      <w:marBottom w:val="0"/>
      <w:divBdr>
        <w:top w:val="none" w:sz="0" w:space="0" w:color="auto"/>
        <w:left w:val="none" w:sz="0" w:space="0" w:color="auto"/>
        <w:bottom w:val="none" w:sz="0" w:space="0" w:color="auto"/>
        <w:right w:val="none" w:sz="0" w:space="0" w:color="auto"/>
      </w:divBdr>
    </w:div>
    <w:div w:id="1347632357">
      <w:bodyDiv w:val="1"/>
      <w:marLeft w:val="0"/>
      <w:marRight w:val="0"/>
      <w:marTop w:val="0"/>
      <w:marBottom w:val="0"/>
      <w:divBdr>
        <w:top w:val="none" w:sz="0" w:space="0" w:color="auto"/>
        <w:left w:val="none" w:sz="0" w:space="0" w:color="auto"/>
        <w:bottom w:val="none" w:sz="0" w:space="0" w:color="auto"/>
        <w:right w:val="none" w:sz="0" w:space="0" w:color="auto"/>
      </w:divBdr>
    </w:div>
    <w:div w:id="1384871336">
      <w:bodyDiv w:val="1"/>
      <w:marLeft w:val="0"/>
      <w:marRight w:val="0"/>
      <w:marTop w:val="0"/>
      <w:marBottom w:val="0"/>
      <w:divBdr>
        <w:top w:val="none" w:sz="0" w:space="0" w:color="auto"/>
        <w:left w:val="none" w:sz="0" w:space="0" w:color="auto"/>
        <w:bottom w:val="none" w:sz="0" w:space="0" w:color="auto"/>
        <w:right w:val="none" w:sz="0" w:space="0" w:color="auto"/>
      </w:divBdr>
    </w:div>
    <w:div w:id="1503660385">
      <w:bodyDiv w:val="1"/>
      <w:marLeft w:val="0"/>
      <w:marRight w:val="0"/>
      <w:marTop w:val="0"/>
      <w:marBottom w:val="0"/>
      <w:divBdr>
        <w:top w:val="none" w:sz="0" w:space="0" w:color="auto"/>
        <w:left w:val="none" w:sz="0" w:space="0" w:color="auto"/>
        <w:bottom w:val="none" w:sz="0" w:space="0" w:color="auto"/>
        <w:right w:val="none" w:sz="0" w:space="0" w:color="auto"/>
      </w:divBdr>
    </w:div>
    <w:div w:id="1566842131">
      <w:bodyDiv w:val="1"/>
      <w:marLeft w:val="0"/>
      <w:marRight w:val="0"/>
      <w:marTop w:val="0"/>
      <w:marBottom w:val="0"/>
      <w:divBdr>
        <w:top w:val="none" w:sz="0" w:space="0" w:color="auto"/>
        <w:left w:val="none" w:sz="0" w:space="0" w:color="auto"/>
        <w:bottom w:val="none" w:sz="0" w:space="0" w:color="auto"/>
        <w:right w:val="none" w:sz="0" w:space="0" w:color="auto"/>
      </w:divBdr>
    </w:div>
    <w:div w:id="1580747575">
      <w:bodyDiv w:val="1"/>
      <w:marLeft w:val="0"/>
      <w:marRight w:val="0"/>
      <w:marTop w:val="0"/>
      <w:marBottom w:val="0"/>
      <w:divBdr>
        <w:top w:val="none" w:sz="0" w:space="0" w:color="auto"/>
        <w:left w:val="none" w:sz="0" w:space="0" w:color="auto"/>
        <w:bottom w:val="none" w:sz="0" w:space="0" w:color="auto"/>
        <w:right w:val="none" w:sz="0" w:space="0" w:color="auto"/>
      </w:divBdr>
    </w:div>
    <w:div w:id="1588804834">
      <w:bodyDiv w:val="1"/>
      <w:marLeft w:val="0"/>
      <w:marRight w:val="0"/>
      <w:marTop w:val="0"/>
      <w:marBottom w:val="0"/>
      <w:divBdr>
        <w:top w:val="none" w:sz="0" w:space="0" w:color="auto"/>
        <w:left w:val="none" w:sz="0" w:space="0" w:color="auto"/>
        <w:bottom w:val="none" w:sz="0" w:space="0" w:color="auto"/>
        <w:right w:val="none" w:sz="0" w:space="0" w:color="auto"/>
      </w:divBdr>
    </w:div>
    <w:div w:id="1591083869">
      <w:bodyDiv w:val="1"/>
      <w:marLeft w:val="0"/>
      <w:marRight w:val="0"/>
      <w:marTop w:val="0"/>
      <w:marBottom w:val="0"/>
      <w:divBdr>
        <w:top w:val="none" w:sz="0" w:space="0" w:color="auto"/>
        <w:left w:val="none" w:sz="0" w:space="0" w:color="auto"/>
        <w:bottom w:val="none" w:sz="0" w:space="0" w:color="auto"/>
        <w:right w:val="none" w:sz="0" w:space="0" w:color="auto"/>
      </w:divBdr>
    </w:div>
    <w:div w:id="1699744404">
      <w:bodyDiv w:val="1"/>
      <w:marLeft w:val="0"/>
      <w:marRight w:val="0"/>
      <w:marTop w:val="0"/>
      <w:marBottom w:val="0"/>
      <w:divBdr>
        <w:top w:val="none" w:sz="0" w:space="0" w:color="auto"/>
        <w:left w:val="none" w:sz="0" w:space="0" w:color="auto"/>
        <w:bottom w:val="none" w:sz="0" w:space="0" w:color="auto"/>
        <w:right w:val="none" w:sz="0" w:space="0" w:color="auto"/>
      </w:divBdr>
    </w:div>
    <w:div w:id="1752307673">
      <w:bodyDiv w:val="1"/>
      <w:marLeft w:val="0"/>
      <w:marRight w:val="0"/>
      <w:marTop w:val="0"/>
      <w:marBottom w:val="0"/>
      <w:divBdr>
        <w:top w:val="none" w:sz="0" w:space="0" w:color="auto"/>
        <w:left w:val="none" w:sz="0" w:space="0" w:color="auto"/>
        <w:bottom w:val="none" w:sz="0" w:space="0" w:color="auto"/>
        <w:right w:val="none" w:sz="0" w:space="0" w:color="auto"/>
      </w:divBdr>
    </w:div>
    <w:div w:id="1834447474">
      <w:bodyDiv w:val="1"/>
      <w:marLeft w:val="0"/>
      <w:marRight w:val="0"/>
      <w:marTop w:val="0"/>
      <w:marBottom w:val="0"/>
      <w:divBdr>
        <w:top w:val="none" w:sz="0" w:space="0" w:color="auto"/>
        <w:left w:val="none" w:sz="0" w:space="0" w:color="auto"/>
        <w:bottom w:val="none" w:sz="0" w:space="0" w:color="auto"/>
        <w:right w:val="none" w:sz="0" w:space="0" w:color="auto"/>
      </w:divBdr>
    </w:div>
    <w:div w:id="1989700026">
      <w:bodyDiv w:val="1"/>
      <w:marLeft w:val="0"/>
      <w:marRight w:val="0"/>
      <w:marTop w:val="0"/>
      <w:marBottom w:val="0"/>
      <w:divBdr>
        <w:top w:val="none" w:sz="0" w:space="0" w:color="auto"/>
        <w:left w:val="none" w:sz="0" w:space="0" w:color="auto"/>
        <w:bottom w:val="none" w:sz="0" w:space="0" w:color="auto"/>
        <w:right w:val="none" w:sz="0" w:space="0" w:color="auto"/>
      </w:divBdr>
    </w:div>
    <w:div w:id="1996764561">
      <w:bodyDiv w:val="1"/>
      <w:marLeft w:val="0"/>
      <w:marRight w:val="0"/>
      <w:marTop w:val="0"/>
      <w:marBottom w:val="0"/>
      <w:divBdr>
        <w:top w:val="none" w:sz="0" w:space="0" w:color="auto"/>
        <w:left w:val="none" w:sz="0" w:space="0" w:color="auto"/>
        <w:bottom w:val="none" w:sz="0" w:space="0" w:color="auto"/>
        <w:right w:val="none" w:sz="0" w:space="0" w:color="auto"/>
      </w:divBdr>
    </w:div>
    <w:div w:id="2001033362">
      <w:bodyDiv w:val="1"/>
      <w:marLeft w:val="0"/>
      <w:marRight w:val="0"/>
      <w:marTop w:val="0"/>
      <w:marBottom w:val="0"/>
      <w:divBdr>
        <w:top w:val="none" w:sz="0" w:space="0" w:color="auto"/>
        <w:left w:val="none" w:sz="0" w:space="0" w:color="auto"/>
        <w:bottom w:val="none" w:sz="0" w:space="0" w:color="auto"/>
        <w:right w:val="none" w:sz="0" w:space="0" w:color="auto"/>
      </w:divBdr>
    </w:div>
    <w:div w:id="2092117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99A182-8FCE-4DD9-84AE-D7D5C73B33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1908</Words>
  <Characters>10497</Characters>
  <Application>Microsoft Office Word</Application>
  <DocSecurity>0</DocSecurity>
  <Lines>87</Lines>
  <Paragraphs>24</Paragraphs>
  <ScaleCrop>false</ScaleCrop>
  <HeadingPairs>
    <vt:vector size="2" baseType="variant">
      <vt:variant>
        <vt:lpstr>Titre</vt:lpstr>
      </vt:variant>
      <vt:variant>
        <vt:i4>1</vt:i4>
      </vt:variant>
    </vt:vector>
  </HeadingPairs>
  <TitlesOfParts>
    <vt:vector size="1" baseType="lpstr">
      <vt:lpstr/>
    </vt:vector>
  </TitlesOfParts>
  <Company>Cnam</Company>
  <LinksUpToDate>false</LinksUpToDate>
  <CharactersWithSpaces>12381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ismael</dc:creator>
  <cp:keywords/>
  <dc:description/>
  <cp:lastModifiedBy>ZACCHERINI THIBAUT (CNAM / Paris)</cp:lastModifiedBy>
  <cp:revision>2</cp:revision>
  <dcterms:created xsi:type="dcterms:W3CDTF">2024-04-02T15:02:00Z</dcterms:created>
  <dcterms:modified xsi:type="dcterms:W3CDTF">2024-04-02T15:02:00Z</dcterms:modified>
</cp:coreProperties>
</file>