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9464D9" w14:textId="77777777" w:rsidR="000C652B" w:rsidRPr="00DB05D9" w:rsidRDefault="000C652B" w:rsidP="00CF4776">
      <w:pPr>
        <w:keepNext/>
        <w:keepLines/>
        <w:spacing w:after="0" w:line="240" w:lineRule="auto"/>
        <w:jc w:val="both"/>
        <w:outlineLvl w:val="2"/>
        <w:rPr>
          <w:rFonts w:eastAsiaTheme="majorEastAsia" w:cstheme="minorHAnsi"/>
          <w:bCs/>
          <w:sz w:val="24"/>
          <w:szCs w:val="28"/>
          <w:u w:val="single"/>
        </w:rPr>
      </w:pPr>
      <w:bookmarkStart w:id="0" w:name="_Toc126666839"/>
      <w:bookmarkStart w:id="1" w:name="_Toc128147855"/>
      <w:bookmarkStart w:id="2" w:name="_Toc128160590"/>
      <w:bookmarkStart w:id="3" w:name="_GoBack"/>
      <w:bookmarkEnd w:id="3"/>
      <w:r>
        <w:rPr>
          <w:rFonts w:eastAsiaTheme="majorEastAsia" w:cstheme="minorHAnsi"/>
          <w:bCs/>
          <w:sz w:val="24"/>
          <w:szCs w:val="28"/>
          <w:u w:val="single"/>
        </w:rPr>
        <w:t>La dotation numérique</w:t>
      </w:r>
      <w:bookmarkEnd w:id="0"/>
      <w:bookmarkEnd w:id="1"/>
      <w:bookmarkEnd w:id="2"/>
      <w:r>
        <w:rPr>
          <w:rFonts w:eastAsiaTheme="majorEastAsia" w:cstheme="minorHAnsi"/>
          <w:bCs/>
          <w:sz w:val="24"/>
          <w:szCs w:val="28"/>
          <w:u w:val="single"/>
        </w:rPr>
        <w:t xml:space="preserve"> (DONUM)</w:t>
      </w:r>
    </w:p>
    <w:p w14:paraId="49ED899C" w14:textId="77777777" w:rsidR="000C652B" w:rsidRDefault="000C652B" w:rsidP="000C652B">
      <w:pPr>
        <w:pStyle w:val="Corpsdetexte"/>
        <w:spacing w:after="0" w:line="240" w:lineRule="auto"/>
        <w:jc w:val="both"/>
        <w:rPr>
          <w:rFonts w:cstheme="minorHAnsi"/>
        </w:rPr>
      </w:pPr>
    </w:p>
    <w:p w14:paraId="38C50907" w14:textId="465BD9D0" w:rsidR="000C652B" w:rsidRDefault="0032506B" w:rsidP="000C652B">
      <w:pPr>
        <w:pStyle w:val="Corpsdetexte"/>
        <w:spacing w:after="0" w:line="240" w:lineRule="auto"/>
        <w:jc w:val="both"/>
        <w:rPr>
          <w:rFonts w:cstheme="minorHAnsi"/>
        </w:rPr>
      </w:pPr>
      <w:r>
        <w:rPr>
          <w:rFonts w:cstheme="minorHAnsi"/>
        </w:rPr>
        <w:t>U</w:t>
      </w:r>
      <w:r w:rsidR="000C652B">
        <w:rPr>
          <w:rFonts w:cstheme="minorHAnsi"/>
        </w:rPr>
        <w:t xml:space="preserve">ne rémunération valorisant </w:t>
      </w:r>
      <w:r w:rsidR="000C652B" w:rsidRPr="00A24A50">
        <w:rPr>
          <w:rFonts w:cstheme="minorHAnsi"/>
        </w:rPr>
        <w:t xml:space="preserve">l’équipement et les usages numériques </w:t>
      </w:r>
      <w:r w:rsidR="0060023F">
        <w:rPr>
          <w:rFonts w:cstheme="minorHAnsi"/>
        </w:rPr>
        <w:t xml:space="preserve">est </w:t>
      </w:r>
      <w:r w:rsidR="006075B8">
        <w:rPr>
          <w:rFonts w:cstheme="minorHAnsi"/>
        </w:rPr>
        <w:t>mise en place</w:t>
      </w:r>
      <w:r w:rsidR="000C652B">
        <w:rPr>
          <w:rFonts w:cstheme="minorHAnsi"/>
        </w:rPr>
        <w:t>.</w:t>
      </w:r>
    </w:p>
    <w:p w14:paraId="39795AE9" w14:textId="77777777" w:rsidR="000C652B" w:rsidRDefault="000C652B" w:rsidP="000C652B">
      <w:pPr>
        <w:autoSpaceDE w:val="0"/>
        <w:autoSpaceDN w:val="0"/>
        <w:adjustRightInd w:val="0"/>
        <w:spacing w:after="0"/>
        <w:jc w:val="both"/>
        <w:rPr>
          <w:rFonts w:cstheme="minorHAnsi"/>
          <w:spacing w:val="-4"/>
        </w:rPr>
      </w:pPr>
      <w:r>
        <w:rPr>
          <w:rFonts w:cstheme="minorHAnsi"/>
          <w:spacing w:val="-4"/>
        </w:rPr>
        <w:t>L’ensemble des médecins conventionnés</w:t>
      </w:r>
      <w:r w:rsidR="0052251F">
        <w:rPr>
          <w:rFonts w:cstheme="minorHAnsi"/>
          <w:spacing w:val="-4"/>
        </w:rPr>
        <w:t xml:space="preserve">, toutes spécialités, </w:t>
      </w:r>
      <w:r>
        <w:rPr>
          <w:rFonts w:cstheme="minorHAnsi"/>
          <w:spacing w:val="-4"/>
        </w:rPr>
        <w:t>sont éligibles à ce forfait.</w:t>
      </w:r>
    </w:p>
    <w:p w14:paraId="7FA17582" w14:textId="77777777" w:rsidR="000C652B" w:rsidRPr="00A24A50" w:rsidRDefault="000C652B" w:rsidP="000C652B">
      <w:pPr>
        <w:spacing w:after="0" w:line="240" w:lineRule="auto"/>
        <w:jc w:val="both"/>
        <w:rPr>
          <w:rFonts w:cstheme="minorHAnsi"/>
        </w:rPr>
      </w:pPr>
    </w:p>
    <w:p w14:paraId="7025E666" w14:textId="77777777" w:rsidR="000C652B" w:rsidRDefault="000C652B" w:rsidP="000C652B">
      <w:pPr>
        <w:keepNext/>
        <w:spacing w:after="0" w:line="240" w:lineRule="auto"/>
        <w:jc w:val="both"/>
        <w:outlineLvl w:val="4"/>
        <w:rPr>
          <w:rFonts w:cstheme="minorHAnsi"/>
          <w:sz w:val="24"/>
          <w:szCs w:val="24"/>
          <w:u w:val="single"/>
        </w:rPr>
      </w:pPr>
      <w:bookmarkStart w:id="4" w:name="_Toc126075430"/>
      <w:bookmarkStart w:id="5" w:name="_Toc126075857"/>
      <w:bookmarkStart w:id="6" w:name="_Toc459802777"/>
      <w:r>
        <w:rPr>
          <w:rFonts w:cstheme="minorHAnsi"/>
          <w:sz w:val="24"/>
          <w:szCs w:val="24"/>
          <w:u w:val="single"/>
        </w:rPr>
        <w:t>L</w:t>
      </w:r>
      <w:r w:rsidRPr="000B28B7">
        <w:rPr>
          <w:rFonts w:cstheme="minorHAnsi"/>
          <w:sz w:val="24"/>
          <w:szCs w:val="24"/>
          <w:u w:val="single"/>
        </w:rPr>
        <w:t xml:space="preserve">es indicateurs </w:t>
      </w:r>
      <w:bookmarkEnd w:id="4"/>
      <w:bookmarkEnd w:id="5"/>
      <w:bookmarkEnd w:id="6"/>
    </w:p>
    <w:p w14:paraId="7904BFBA" w14:textId="77777777" w:rsidR="000C652B" w:rsidRPr="000B28B7" w:rsidRDefault="000C652B" w:rsidP="000C652B">
      <w:pPr>
        <w:pStyle w:val="Corpsdetexte"/>
        <w:spacing w:after="0" w:line="240" w:lineRule="auto"/>
        <w:jc w:val="both"/>
        <w:rPr>
          <w:rFonts w:cstheme="minorHAnsi"/>
          <w:sz w:val="24"/>
          <w:szCs w:val="24"/>
          <w:u w:val="single"/>
        </w:rPr>
      </w:pPr>
    </w:p>
    <w:p w14:paraId="463C3955" w14:textId="77777777" w:rsidR="000C652B" w:rsidRPr="00A24A50" w:rsidRDefault="000C652B" w:rsidP="000C652B">
      <w:pPr>
        <w:pStyle w:val="Corpsdetexte"/>
        <w:spacing w:after="0" w:line="240" w:lineRule="auto"/>
        <w:jc w:val="both"/>
        <w:rPr>
          <w:rFonts w:cstheme="minorHAnsi"/>
        </w:rPr>
      </w:pPr>
      <w:r w:rsidRPr="00A24A50">
        <w:rPr>
          <w:rFonts w:cstheme="minorHAnsi"/>
        </w:rPr>
        <w:t>Ce forfait est composé de deux types d’indicateurs :</w:t>
      </w:r>
    </w:p>
    <w:p w14:paraId="0F7047FA" w14:textId="77B74CC0" w:rsidR="000C652B" w:rsidRPr="00A24A50" w:rsidRDefault="000C652B" w:rsidP="000C652B">
      <w:pPr>
        <w:pStyle w:val="Corpsdetexte"/>
        <w:numPr>
          <w:ilvl w:val="0"/>
          <w:numId w:val="1"/>
        </w:numPr>
        <w:autoSpaceDE w:val="0"/>
        <w:autoSpaceDN w:val="0"/>
        <w:adjustRightInd w:val="0"/>
        <w:spacing w:after="0" w:line="240" w:lineRule="auto"/>
        <w:jc w:val="both"/>
        <w:rPr>
          <w:rFonts w:cstheme="minorHAnsi"/>
        </w:rPr>
      </w:pPr>
      <w:r w:rsidRPr="00A24A50">
        <w:rPr>
          <w:rFonts w:cstheme="minorHAnsi"/>
        </w:rPr>
        <w:t xml:space="preserve">Des indicateurs socles, </w:t>
      </w:r>
      <w:r w:rsidR="00C421EC">
        <w:rPr>
          <w:rFonts w:cstheme="minorHAnsi"/>
        </w:rPr>
        <w:t>dont les cibles doivent</w:t>
      </w:r>
      <w:r w:rsidR="00C421EC" w:rsidRPr="00A24A50">
        <w:rPr>
          <w:rFonts w:cstheme="minorHAnsi"/>
        </w:rPr>
        <w:t xml:space="preserve"> tou</w:t>
      </w:r>
      <w:r w:rsidR="00C421EC">
        <w:rPr>
          <w:rFonts w:cstheme="minorHAnsi"/>
        </w:rPr>
        <w:t>te</w:t>
      </w:r>
      <w:r w:rsidR="00C421EC" w:rsidRPr="00A24A50">
        <w:rPr>
          <w:rFonts w:cstheme="minorHAnsi"/>
        </w:rPr>
        <w:t xml:space="preserve">s </w:t>
      </w:r>
      <w:r w:rsidRPr="00A24A50">
        <w:rPr>
          <w:rFonts w:cstheme="minorHAnsi"/>
        </w:rPr>
        <w:t>être atteint</w:t>
      </w:r>
      <w:r w:rsidR="00C421EC">
        <w:rPr>
          <w:rFonts w:cstheme="minorHAnsi"/>
        </w:rPr>
        <w:t>e</w:t>
      </w:r>
      <w:r w:rsidRPr="00A24A50">
        <w:rPr>
          <w:rFonts w:cstheme="minorHAnsi"/>
        </w:rPr>
        <w:t>s pour bénéficier de la rémunération</w:t>
      </w:r>
      <w:r>
        <w:rPr>
          <w:rFonts w:cstheme="minorHAnsi"/>
        </w:rPr>
        <w:t> </w:t>
      </w:r>
      <w:r w:rsidR="00C421EC">
        <w:rPr>
          <w:rFonts w:cstheme="minorHAnsi"/>
        </w:rPr>
        <w:t>et ouvrir d</w:t>
      </w:r>
      <w:r w:rsidR="0032506B">
        <w:rPr>
          <w:rFonts w:cstheme="minorHAnsi"/>
        </w:rPr>
        <w:t>roit à la rémunération relative</w:t>
      </w:r>
      <w:r w:rsidR="00C421EC">
        <w:rPr>
          <w:rFonts w:cstheme="minorHAnsi"/>
        </w:rPr>
        <w:t xml:space="preserve"> aux indicateurs optionnels </w:t>
      </w:r>
      <w:r>
        <w:rPr>
          <w:rFonts w:cstheme="minorHAnsi"/>
        </w:rPr>
        <w:t xml:space="preserve">; </w:t>
      </w:r>
    </w:p>
    <w:p w14:paraId="6185E9FB" w14:textId="3A708C7A" w:rsidR="000C652B" w:rsidRPr="00A24A50" w:rsidRDefault="000C652B" w:rsidP="000C652B">
      <w:pPr>
        <w:pStyle w:val="Corpsdetexte"/>
        <w:numPr>
          <w:ilvl w:val="0"/>
          <w:numId w:val="1"/>
        </w:numPr>
        <w:autoSpaceDE w:val="0"/>
        <w:autoSpaceDN w:val="0"/>
        <w:adjustRightInd w:val="0"/>
        <w:spacing w:after="0" w:line="240" w:lineRule="auto"/>
        <w:jc w:val="both"/>
        <w:rPr>
          <w:rFonts w:cstheme="minorHAnsi"/>
        </w:rPr>
      </w:pPr>
      <w:r w:rsidRPr="00A24A50">
        <w:rPr>
          <w:rFonts w:cstheme="minorHAnsi"/>
        </w:rPr>
        <w:t xml:space="preserve">Des indicateurs optionnels indépendants rémunérés </w:t>
      </w:r>
      <w:r w:rsidR="00C421EC">
        <w:rPr>
          <w:rFonts w:cstheme="minorHAnsi"/>
        </w:rPr>
        <w:t>en fonction de l’atteinte de chaque cible définie ci-après :</w:t>
      </w:r>
      <w:r>
        <w:rPr>
          <w:rFonts w:cstheme="minorHAnsi"/>
        </w:rPr>
        <w:t>.</w:t>
      </w:r>
    </w:p>
    <w:p w14:paraId="696E29CF" w14:textId="77777777" w:rsidR="001A6AF3" w:rsidRDefault="001A6AF3" w:rsidP="001A6AF3">
      <w:pPr>
        <w:pStyle w:val="Corpsdetexte"/>
        <w:spacing w:after="0" w:line="240" w:lineRule="auto"/>
        <w:jc w:val="both"/>
        <w:rPr>
          <w:highlight w:val="yellow"/>
        </w:rPr>
      </w:pPr>
    </w:p>
    <w:tbl>
      <w:tblPr>
        <w:tblStyle w:val="Grilledutableau"/>
        <w:tblW w:w="9067" w:type="dxa"/>
        <w:tblLook w:val="04A0" w:firstRow="1" w:lastRow="0" w:firstColumn="1" w:lastColumn="0" w:noHBand="0" w:noVBand="1"/>
      </w:tblPr>
      <w:tblGrid>
        <w:gridCol w:w="1489"/>
        <w:gridCol w:w="5243"/>
        <w:gridCol w:w="1084"/>
        <w:gridCol w:w="1251"/>
      </w:tblGrid>
      <w:tr w:rsidR="00CB53C9" w:rsidRPr="00871797" w14:paraId="66E29DD2" w14:textId="77777777" w:rsidTr="00CB53C9">
        <w:tc>
          <w:tcPr>
            <w:tcW w:w="1489" w:type="dxa"/>
            <w:shd w:val="clear" w:color="auto" w:fill="1F497D" w:themeFill="text2"/>
            <w:vAlign w:val="center"/>
          </w:tcPr>
          <w:p w14:paraId="2B041D07" w14:textId="77777777" w:rsidR="00CB53C9" w:rsidRPr="00871797" w:rsidRDefault="00CB53C9" w:rsidP="00E25C80">
            <w:pPr>
              <w:pStyle w:val="Corpsdetexte"/>
              <w:spacing w:after="0"/>
              <w:jc w:val="center"/>
              <w:rPr>
                <w:rFonts w:asciiTheme="minorHAnsi" w:hAnsiTheme="minorHAnsi" w:cstheme="minorHAnsi"/>
                <w:b/>
                <w:color w:val="FFFFFF" w:themeColor="background1"/>
                <w:sz w:val="22"/>
                <w:szCs w:val="22"/>
              </w:rPr>
            </w:pPr>
            <w:r w:rsidRPr="00F77245">
              <w:rPr>
                <w:rFonts w:asciiTheme="minorHAnsi" w:hAnsiTheme="minorHAnsi" w:cstheme="minorHAnsi"/>
                <w:b/>
                <w:bCs/>
                <w:color w:val="FFFFFF" w:themeColor="background1"/>
                <w:sz w:val="22"/>
                <w:szCs w:val="22"/>
              </w:rPr>
              <w:t>Volets</w:t>
            </w:r>
          </w:p>
        </w:tc>
        <w:tc>
          <w:tcPr>
            <w:tcW w:w="5243" w:type="dxa"/>
            <w:shd w:val="clear" w:color="auto" w:fill="1F497D" w:themeFill="text2"/>
            <w:vAlign w:val="center"/>
          </w:tcPr>
          <w:p w14:paraId="57DA657E" w14:textId="77777777" w:rsidR="00CB53C9" w:rsidRPr="00871797" w:rsidRDefault="00CB53C9" w:rsidP="00E25C80">
            <w:pPr>
              <w:pStyle w:val="Corpsdetexte"/>
              <w:spacing w:after="0"/>
              <w:jc w:val="center"/>
              <w:rPr>
                <w:rFonts w:asciiTheme="minorHAnsi" w:hAnsiTheme="minorHAnsi" w:cstheme="minorHAnsi"/>
                <w:b/>
                <w:color w:val="FFFFFF" w:themeColor="background1"/>
                <w:sz w:val="22"/>
                <w:szCs w:val="22"/>
              </w:rPr>
            </w:pPr>
            <w:r w:rsidRPr="00F77245">
              <w:rPr>
                <w:rFonts w:asciiTheme="minorHAnsi" w:hAnsiTheme="minorHAnsi" w:cstheme="minorHAnsi"/>
                <w:b/>
                <w:bCs/>
                <w:color w:val="FFFFFF" w:themeColor="background1"/>
                <w:sz w:val="22"/>
                <w:szCs w:val="22"/>
              </w:rPr>
              <w:t>Indicateurs</w:t>
            </w:r>
          </w:p>
        </w:tc>
        <w:tc>
          <w:tcPr>
            <w:tcW w:w="1084" w:type="dxa"/>
            <w:shd w:val="clear" w:color="auto" w:fill="1F497D" w:themeFill="text2"/>
            <w:vAlign w:val="center"/>
          </w:tcPr>
          <w:p w14:paraId="70746557" w14:textId="77777777" w:rsidR="00CB53C9" w:rsidRPr="00CB53C9" w:rsidRDefault="00E25C80" w:rsidP="00E25C80">
            <w:pPr>
              <w:pStyle w:val="Corpsdetexte"/>
              <w:spacing w:after="0"/>
              <w:jc w:val="center"/>
              <w:rPr>
                <w:rFonts w:asciiTheme="minorHAnsi" w:hAnsiTheme="minorHAnsi" w:cstheme="minorHAnsi"/>
                <w:b/>
                <w:bCs/>
                <w:color w:val="FFFFFF" w:themeColor="background1"/>
                <w:sz w:val="22"/>
                <w:szCs w:val="22"/>
              </w:rPr>
            </w:pPr>
            <w:r>
              <w:rPr>
                <w:rFonts w:asciiTheme="minorHAnsi" w:hAnsiTheme="minorHAnsi" w:cstheme="minorHAnsi"/>
                <w:b/>
                <w:bCs/>
                <w:color w:val="FFFFFF" w:themeColor="background1"/>
                <w:sz w:val="22"/>
                <w:szCs w:val="22"/>
              </w:rPr>
              <w:t>Cible</w:t>
            </w:r>
          </w:p>
        </w:tc>
        <w:tc>
          <w:tcPr>
            <w:tcW w:w="1251" w:type="dxa"/>
            <w:shd w:val="clear" w:color="auto" w:fill="1F497D" w:themeFill="text2"/>
          </w:tcPr>
          <w:p w14:paraId="3C60C141" w14:textId="77777777" w:rsidR="00CB53C9" w:rsidRPr="00CB53C9" w:rsidRDefault="00E25C80" w:rsidP="00E25C80">
            <w:pPr>
              <w:pStyle w:val="Corpsdetexte"/>
              <w:spacing w:after="0"/>
              <w:jc w:val="center"/>
              <w:rPr>
                <w:rFonts w:asciiTheme="minorHAnsi" w:hAnsiTheme="minorHAnsi" w:cstheme="minorHAnsi"/>
                <w:b/>
                <w:bCs/>
                <w:color w:val="FFFFFF" w:themeColor="background1"/>
                <w:sz w:val="22"/>
                <w:szCs w:val="22"/>
              </w:rPr>
            </w:pPr>
            <w:r>
              <w:rPr>
                <w:rFonts w:asciiTheme="minorHAnsi" w:hAnsiTheme="minorHAnsi" w:cstheme="minorHAnsi"/>
                <w:b/>
                <w:bCs/>
                <w:color w:val="FFFFFF" w:themeColor="background1"/>
                <w:sz w:val="22"/>
                <w:szCs w:val="22"/>
              </w:rPr>
              <w:t>Points</w:t>
            </w:r>
          </w:p>
        </w:tc>
      </w:tr>
      <w:tr w:rsidR="00CB53C9" w:rsidRPr="00871797" w14:paraId="4BF746A6" w14:textId="77777777" w:rsidTr="00CB53C9">
        <w:tc>
          <w:tcPr>
            <w:tcW w:w="1489" w:type="dxa"/>
            <w:vMerge w:val="restart"/>
            <w:shd w:val="clear" w:color="auto" w:fill="C6D9F1" w:themeFill="text2" w:themeFillTint="33"/>
            <w:vAlign w:val="center"/>
          </w:tcPr>
          <w:p w14:paraId="1ECD7EDF" w14:textId="77777777" w:rsidR="00CB53C9" w:rsidRDefault="00CB53C9" w:rsidP="00A92ED7">
            <w:pPr>
              <w:pStyle w:val="Corpsdetexte"/>
              <w:spacing w:after="0"/>
              <w:jc w:val="both"/>
              <w:rPr>
                <w:rFonts w:cstheme="minorHAnsi"/>
              </w:rPr>
            </w:pPr>
            <w:r>
              <w:rPr>
                <w:rFonts w:asciiTheme="minorHAnsi" w:hAnsiTheme="minorHAnsi" w:cstheme="minorHAnsi"/>
                <w:sz w:val="22"/>
                <w:szCs w:val="22"/>
              </w:rPr>
              <w:t>Indicateurs socles</w:t>
            </w:r>
          </w:p>
        </w:tc>
        <w:tc>
          <w:tcPr>
            <w:tcW w:w="5243" w:type="dxa"/>
            <w:shd w:val="clear" w:color="auto" w:fill="FFFFFF" w:themeFill="background1"/>
            <w:vAlign w:val="center"/>
          </w:tcPr>
          <w:p w14:paraId="4C88F4F9" w14:textId="77777777" w:rsidR="00CB53C9" w:rsidRPr="00A24A50" w:rsidRDefault="00CB53C9" w:rsidP="00A92ED7">
            <w:pPr>
              <w:pStyle w:val="Corpsdetexte"/>
              <w:spacing w:after="0"/>
              <w:jc w:val="both"/>
              <w:rPr>
                <w:rFonts w:cstheme="minorHAnsi"/>
              </w:rPr>
            </w:pPr>
            <w:r w:rsidRPr="00A24A50">
              <w:rPr>
                <w:rFonts w:asciiTheme="minorHAnsi" w:hAnsiTheme="minorHAnsi" w:cstheme="minorHAnsi"/>
                <w:sz w:val="22"/>
                <w:szCs w:val="22"/>
              </w:rPr>
              <w:t>Disposer d’un logiciel métier ou référencé Ségur et d’un LAP certifié HAS</w:t>
            </w:r>
            <w:r>
              <w:rPr>
                <w:rFonts w:asciiTheme="minorHAnsi" w:hAnsiTheme="minorHAnsi" w:cstheme="minorHAnsi"/>
                <w:sz w:val="22"/>
                <w:szCs w:val="22"/>
              </w:rPr>
              <w:t xml:space="preserve"> et </w:t>
            </w:r>
            <w:r w:rsidRPr="002A38FC">
              <w:rPr>
                <w:rFonts w:asciiTheme="minorHAnsi" w:hAnsiTheme="minorHAnsi" w:cstheme="minorHAnsi"/>
                <w:sz w:val="22"/>
                <w:szCs w:val="22"/>
              </w:rPr>
              <w:t>d’une version de cahier des charges Sesam Vitale à jour des avenants N-1</w:t>
            </w:r>
          </w:p>
        </w:tc>
        <w:tc>
          <w:tcPr>
            <w:tcW w:w="1084" w:type="dxa"/>
            <w:shd w:val="clear" w:color="auto" w:fill="C6D9F1" w:themeFill="text2" w:themeFillTint="33"/>
            <w:vAlign w:val="center"/>
          </w:tcPr>
          <w:p w14:paraId="3D2AC4A1" w14:textId="40E88B8C" w:rsidR="00E51BFF" w:rsidRPr="001A3C3C" w:rsidRDefault="00E51BFF" w:rsidP="00E51BFF">
            <w:pPr>
              <w:pStyle w:val="Corpsdetexte"/>
              <w:spacing w:after="0"/>
              <w:jc w:val="center"/>
              <w:rPr>
                <w:rFonts w:asciiTheme="minorHAnsi" w:hAnsiTheme="minorHAnsi" w:cstheme="minorHAnsi"/>
                <w:sz w:val="22"/>
                <w:szCs w:val="22"/>
              </w:rPr>
            </w:pPr>
            <w:r>
              <w:rPr>
                <w:rFonts w:asciiTheme="minorHAnsi" w:hAnsiTheme="minorHAnsi" w:cstheme="minorHAnsi"/>
                <w:sz w:val="22"/>
                <w:szCs w:val="22"/>
              </w:rPr>
              <w:t>XX</w:t>
            </w:r>
          </w:p>
        </w:tc>
        <w:tc>
          <w:tcPr>
            <w:tcW w:w="1251" w:type="dxa"/>
            <w:vMerge w:val="restart"/>
            <w:shd w:val="clear" w:color="auto" w:fill="C6D9F1" w:themeFill="text2" w:themeFillTint="33"/>
            <w:vAlign w:val="center"/>
          </w:tcPr>
          <w:p w14:paraId="2CC63BF7" w14:textId="77777777" w:rsidR="00CB53C9" w:rsidRPr="00CB53C9" w:rsidRDefault="00CB53C9" w:rsidP="00CB53C9">
            <w:pPr>
              <w:pStyle w:val="Corpsdetexte"/>
              <w:spacing w:after="0"/>
              <w:jc w:val="center"/>
              <w:rPr>
                <w:rFonts w:asciiTheme="minorHAnsi" w:hAnsiTheme="minorHAnsi" w:cstheme="minorHAnsi"/>
                <w:sz w:val="22"/>
                <w:szCs w:val="22"/>
              </w:rPr>
            </w:pPr>
            <w:r w:rsidRPr="00CB53C9">
              <w:rPr>
                <w:rFonts w:asciiTheme="minorHAnsi" w:hAnsiTheme="minorHAnsi" w:cstheme="minorHAnsi"/>
                <w:sz w:val="22"/>
                <w:szCs w:val="22"/>
              </w:rPr>
              <w:t>280</w:t>
            </w:r>
          </w:p>
        </w:tc>
      </w:tr>
      <w:tr w:rsidR="00E51BFF" w:rsidRPr="00871797" w14:paraId="133681A4" w14:textId="77777777" w:rsidTr="004C6558">
        <w:tc>
          <w:tcPr>
            <w:tcW w:w="1489" w:type="dxa"/>
            <w:vMerge/>
            <w:shd w:val="clear" w:color="auto" w:fill="C6D9F1" w:themeFill="text2" w:themeFillTint="33"/>
            <w:vAlign w:val="center"/>
          </w:tcPr>
          <w:p w14:paraId="685E38ED" w14:textId="77777777" w:rsidR="00E51BFF" w:rsidRPr="00871797" w:rsidRDefault="00E51BFF" w:rsidP="00E51BFF">
            <w:pPr>
              <w:pStyle w:val="Corpsdetexte"/>
              <w:spacing w:after="0"/>
              <w:jc w:val="both"/>
              <w:rPr>
                <w:rFonts w:asciiTheme="minorHAnsi" w:hAnsiTheme="minorHAnsi" w:cstheme="minorHAnsi"/>
                <w:sz w:val="22"/>
                <w:szCs w:val="22"/>
              </w:rPr>
            </w:pPr>
          </w:p>
        </w:tc>
        <w:tc>
          <w:tcPr>
            <w:tcW w:w="5243" w:type="dxa"/>
            <w:shd w:val="clear" w:color="auto" w:fill="FFFFFF" w:themeFill="background1"/>
            <w:vAlign w:val="center"/>
          </w:tcPr>
          <w:p w14:paraId="01BAC826" w14:textId="77777777" w:rsidR="00E51BFF" w:rsidRPr="00871797" w:rsidRDefault="00E51BFF" w:rsidP="00E51BFF">
            <w:pPr>
              <w:pStyle w:val="Corpsdetexte"/>
              <w:spacing w:after="0"/>
              <w:jc w:val="both"/>
              <w:rPr>
                <w:rFonts w:asciiTheme="minorHAnsi" w:hAnsiTheme="minorHAnsi" w:cstheme="minorHAnsi"/>
                <w:sz w:val="22"/>
                <w:szCs w:val="22"/>
              </w:rPr>
            </w:pPr>
            <w:r w:rsidRPr="00A24A50">
              <w:rPr>
                <w:rFonts w:asciiTheme="minorHAnsi" w:hAnsiTheme="minorHAnsi" w:cstheme="minorHAnsi"/>
                <w:sz w:val="22"/>
                <w:szCs w:val="22"/>
              </w:rPr>
              <w:t>Taux de déclaration médecin traitant dématérialisée</w:t>
            </w:r>
          </w:p>
        </w:tc>
        <w:tc>
          <w:tcPr>
            <w:tcW w:w="1084" w:type="dxa"/>
            <w:shd w:val="clear" w:color="auto" w:fill="C6D9F1" w:themeFill="text2" w:themeFillTint="33"/>
          </w:tcPr>
          <w:p w14:paraId="759D0A6E" w14:textId="63522162" w:rsidR="00E51BFF" w:rsidRPr="00871797" w:rsidRDefault="00E51BFF" w:rsidP="00E51BFF">
            <w:pPr>
              <w:pStyle w:val="Corpsdetexte"/>
              <w:spacing w:after="0"/>
              <w:jc w:val="center"/>
              <w:rPr>
                <w:rFonts w:asciiTheme="minorHAnsi" w:hAnsiTheme="minorHAnsi" w:cstheme="minorHAnsi"/>
                <w:sz w:val="22"/>
                <w:szCs w:val="22"/>
              </w:rPr>
            </w:pPr>
            <w:r w:rsidRPr="00E73067">
              <w:rPr>
                <w:rFonts w:asciiTheme="minorHAnsi" w:hAnsiTheme="minorHAnsi" w:cstheme="minorHAnsi"/>
                <w:sz w:val="22"/>
                <w:szCs w:val="22"/>
              </w:rPr>
              <w:t>XX</w:t>
            </w:r>
          </w:p>
        </w:tc>
        <w:tc>
          <w:tcPr>
            <w:tcW w:w="1251" w:type="dxa"/>
            <w:vMerge/>
            <w:shd w:val="clear" w:color="auto" w:fill="C6D9F1" w:themeFill="text2" w:themeFillTint="33"/>
            <w:vAlign w:val="center"/>
          </w:tcPr>
          <w:p w14:paraId="24A619BF" w14:textId="77777777" w:rsidR="00E51BFF" w:rsidRPr="00CB53C9" w:rsidRDefault="00E51BFF" w:rsidP="00E51BFF">
            <w:pPr>
              <w:pStyle w:val="Corpsdetexte"/>
              <w:spacing w:after="0"/>
              <w:jc w:val="center"/>
              <w:rPr>
                <w:rFonts w:asciiTheme="minorHAnsi" w:hAnsiTheme="minorHAnsi" w:cstheme="minorHAnsi"/>
                <w:sz w:val="22"/>
                <w:szCs w:val="22"/>
              </w:rPr>
            </w:pPr>
          </w:p>
        </w:tc>
      </w:tr>
      <w:tr w:rsidR="00E51BFF" w:rsidRPr="00871797" w14:paraId="19A0506C" w14:textId="77777777" w:rsidTr="004C6558">
        <w:tc>
          <w:tcPr>
            <w:tcW w:w="1489" w:type="dxa"/>
            <w:vMerge/>
            <w:shd w:val="clear" w:color="auto" w:fill="C6D9F1" w:themeFill="text2" w:themeFillTint="33"/>
            <w:vAlign w:val="center"/>
          </w:tcPr>
          <w:p w14:paraId="2D182E78" w14:textId="77777777" w:rsidR="00E51BFF" w:rsidRPr="00871797" w:rsidRDefault="00E51BFF" w:rsidP="00E51BFF">
            <w:pPr>
              <w:pStyle w:val="Corpsdetexte"/>
              <w:spacing w:after="0"/>
              <w:jc w:val="both"/>
              <w:rPr>
                <w:rFonts w:asciiTheme="minorHAnsi" w:hAnsiTheme="minorHAnsi" w:cstheme="minorHAnsi"/>
                <w:sz w:val="22"/>
                <w:szCs w:val="22"/>
              </w:rPr>
            </w:pPr>
          </w:p>
        </w:tc>
        <w:tc>
          <w:tcPr>
            <w:tcW w:w="5243" w:type="dxa"/>
            <w:shd w:val="clear" w:color="auto" w:fill="FFFFFF" w:themeFill="background1"/>
            <w:vAlign w:val="center"/>
          </w:tcPr>
          <w:p w14:paraId="13BB8CC9" w14:textId="77777777" w:rsidR="00E51BFF" w:rsidRPr="00871797" w:rsidRDefault="00E51BFF" w:rsidP="00E51BFF">
            <w:pPr>
              <w:pStyle w:val="Corpsdetexte"/>
              <w:spacing w:after="0"/>
              <w:jc w:val="both"/>
              <w:rPr>
                <w:rFonts w:asciiTheme="minorHAnsi" w:hAnsiTheme="minorHAnsi" w:cstheme="minorHAnsi"/>
                <w:sz w:val="22"/>
                <w:szCs w:val="22"/>
              </w:rPr>
            </w:pPr>
            <w:r w:rsidRPr="00A24A50">
              <w:rPr>
                <w:rFonts w:asciiTheme="minorHAnsi" w:hAnsiTheme="minorHAnsi" w:cstheme="minorHAnsi"/>
                <w:sz w:val="22"/>
                <w:szCs w:val="22"/>
              </w:rPr>
              <w:t>Taux de télétransmission FSE</w:t>
            </w:r>
          </w:p>
        </w:tc>
        <w:tc>
          <w:tcPr>
            <w:tcW w:w="1084" w:type="dxa"/>
            <w:shd w:val="clear" w:color="auto" w:fill="C6D9F1" w:themeFill="text2" w:themeFillTint="33"/>
          </w:tcPr>
          <w:p w14:paraId="1D14B0AC" w14:textId="4BF09950" w:rsidR="00E51BFF" w:rsidRPr="00871797" w:rsidRDefault="00E51BFF" w:rsidP="00E51BFF">
            <w:pPr>
              <w:pStyle w:val="Corpsdetexte"/>
              <w:spacing w:after="0"/>
              <w:jc w:val="center"/>
              <w:rPr>
                <w:rFonts w:asciiTheme="minorHAnsi" w:hAnsiTheme="minorHAnsi" w:cstheme="minorHAnsi"/>
                <w:sz w:val="22"/>
                <w:szCs w:val="22"/>
              </w:rPr>
            </w:pPr>
            <w:r w:rsidRPr="00E73067">
              <w:rPr>
                <w:rFonts w:asciiTheme="minorHAnsi" w:hAnsiTheme="minorHAnsi" w:cstheme="minorHAnsi"/>
                <w:sz w:val="22"/>
                <w:szCs w:val="22"/>
              </w:rPr>
              <w:t>XX</w:t>
            </w:r>
          </w:p>
        </w:tc>
        <w:tc>
          <w:tcPr>
            <w:tcW w:w="1251" w:type="dxa"/>
            <w:vMerge/>
            <w:shd w:val="clear" w:color="auto" w:fill="C6D9F1" w:themeFill="text2" w:themeFillTint="33"/>
            <w:vAlign w:val="center"/>
          </w:tcPr>
          <w:p w14:paraId="3DCA6C0F" w14:textId="77777777" w:rsidR="00E51BFF" w:rsidRPr="00CB53C9" w:rsidRDefault="00E51BFF" w:rsidP="00E51BFF">
            <w:pPr>
              <w:pStyle w:val="Corpsdetexte"/>
              <w:spacing w:after="0"/>
              <w:jc w:val="center"/>
              <w:rPr>
                <w:rFonts w:asciiTheme="minorHAnsi" w:hAnsiTheme="minorHAnsi" w:cstheme="minorHAnsi"/>
                <w:sz w:val="22"/>
                <w:szCs w:val="22"/>
              </w:rPr>
            </w:pPr>
          </w:p>
        </w:tc>
      </w:tr>
      <w:tr w:rsidR="00E51BFF" w:rsidRPr="00871797" w14:paraId="35C24598" w14:textId="77777777" w:rsidTr="004C6558">
        <w:tc>
          <w:tcPr>
            <w:tcW w:w="1489" w:type="dxa"/>
            <w:vMerge/>
            <w:shd w:val="clear" w:color="auto" w:fill="C6D9F1" w:themeFill="text2" w:themeFillTint="33"/>
            <w:vAlign w:val="center"/>
          </w:tcPr>
          <w:p w14:paraId="3639F1F6" w14:textId="77777777" w:rsidR="00E51BFF" w:rsidRPr="00871797" w:rsidRDefault="00E51BFF" w:rsidP="00E51BFF">
            <w:pPr>
              <w:pStyle w:val="Corpsdetexte"/>
              <w:spacing w:after="0"/>
              <w:jc w:val="both"/>
              <w:rPr>
                <w:rFonts w:cstheme="minorHAnsi"/>
              </w:rPr>
            </w:pPr>
          </w:p>
        </w:tc>
        <w:tc>
          <w:tcPr>
            <w:tcW w:w="5243" w:type="dxa"/>
            <w:shd w:val="clear" w:color="auto" w:fill="FFFFFF" w:themeFill="background1"/>
            <w:vAlign w:val="center"/>
          </w:tcPr>
          <w:p w14:paraId="68044315" w14:textId="77777777" w:rsidR="00E51BFF" w:rsidRPr="00A24A50" w:rsidRDefault="00E51BFF" w:rsidP="00E51BFF">
            <w:pPr>
              <w:pStyle w:val="Corpsdetexte"/>
              <w:spacing w:after="0"/>
              <w:jc w:val="both"/>
              <w:rPr>
                <w:rFonts w:cstheme="minorHAnsi"/>
              </w:rPr>
            </w:pPr>
            <w:r w:rsidRPr="005B4488">
              <w:rPr>
                <w:rFonts w:asciiTheme="minorHAnsi" w:hAnsiTheme="minorHAnsi" w:cstheme="minorHAnsi"/>
                <w:sz w:val="22"/>
                <w:szCs w:val="22"/>
              </w:rPr>
              <w:t>Taux de protocoles de soins électronique</w:t>
            </w:r>
          </w:p>
        </w:tc>
        <w:tc>
          <w:tcPr>
            <w:tcW w:w="1084" w:type="dxa"/>
            <w:shd w:val="clear" w:color="auto" w:fill="C6D9F1" w:themeFill="text2" w:themeFillTint="33"/>
          </w:tcPr>
          <w:p w14:paraId="068E58DF" w14:textId="08AB878E" w:rsidR="00E51BFF" w:rsidRPr="001A3C3C" w:rsidRDefault="00E51BFF" w:rsidP="00E51BFF">
            <w:pPr>
              <w:pStyle w:val="Corpsdetexte"/>
              <w:spacing w:after="0"/>
              <w:jc w:val="center"/>
              <w:rPr>
                <w:rFonts w:asciiTheme="minorHAnsi" w:hAnsiTheme="minorHAnsi" w:cstheme="minorHAnsi"/>
                <w:sz w:val="22"/>
                <w:szCs w:val="22"/>
              </w:rPr>
            </w:pPr>
            <w:r w:rsidRPr="00E73067">
              <w:rPr>
                <w:rFonts w:asciiTheme="minorHAnsi" w:hAnsiTheme="minorHAnsi" w:cstheme="minorHAnsi"/>
                <w:sz w:val="22"/>
                <w:szCs w:val="22"/>
              </w:rPr>
              <w:t>XX</w:t>
            </w:r>
          </w:p>
        </w:tc>
        <w:tc>
          <w:tcPr>
            <w:tcW w:w="1251" w:type="dxa"/>
            <w:vMerge/>
            <w:shd w:val="clear" w:color="auto" w:fill="C6D9F1" w:themeFill="text2" w:themeFillTint="33"/>
            <w:vAlign w:val="center"/>
          </w:tcPr>
          <w:p w14:paraId="1DF40721" w14:textId="77777777" w:rsidR="00E51BFF" w:rsidRPr="00CB53C9" w:rsidRDefault="00E51BFF" w:rsidP="00E51BFF">
            <w:pPr>
              <w:pStyle w:val="Corpsdetexte"/>
              <w:spacing w:after="0"/>
              <w:jc w:val="center"/>
              <w:rPr>
                <w:rFonts w:asciiTheme="minorHAnsi" w:hAnsiTheme="minorHAnsi" w:cstheme="minorHAnsi"/>
                <w:sz w:val="22"/>
                <w:szCs w:val="22"/>
              </w:rPr>
            </w:pPr>
          </w:p>
        </w:tc>
      </w:tr>
      <w:tr w:rsidR="00E51BFF" w:rsidRPr="00871797" w14:paraId="148854AF" w14:textId="77777777" w:rsidTr="004C6558">
        <w:tc>
          <w:tcPr>
            <w:tcW w:w="1489" w:type="dxa"/>
            <w:vMerge/>
            <w:shd w:val="clear" w:color="auto" w:fill="C6D9F1" w:themeFill="text2" w:themeFillTint="33"/>
            <w:vAlign w:val="center"/>
          </w:tcPr>
          <w:p w14:paraId="78F4B26E" w14:textId="77777777" w:rsidR="00E51BFF" w:rsidRPr="00871797" w:rsidRDefault="00E51BFF" w:rsidP="00E51BFF">
            <w:pPr>
              <w:pStyle w:val="Corpsdetexte"/>
              <w:spacing w:after="0"/>
              <w:jc w:val="both"/>
              <w:rPr>
                <w:rFonts w:asciiTheme="minorHAnsi" w:hAnsiTheme="minorHAnsi" w:cstheme="minorHAnsi"/>
                <w:sz w:val="22"/>
                <w:szCs w:val="22"/>
              </w:rPr>
            </w:pPr>
          </w:p>
        </w:tc>
        <w:tc>
          <w:tcPr>
            <w:tcW w:w="5243" w:type="dxa"/>
            <w:shd w:val="clear" w:color="auto" w:fill="FFFFFF" w:themeFill="background1"/>
            <w:vAlign w:val="center"/>
          </w:tcPr>
          <w:p w14:paraId="5E6E1A79" w14:textId="77777777" w:rsidR="00E51BFF" w:rsidRPr="00871797" w:rsidRDefault="00E51BFF" w:rsidP="00E51BFF">
            <w:pPr>
              <w:pStyle w:val="Corpsdetexte"/>
              <w:spacing w:after="0"/>
              <w:jc w:val="both"/>
              <w:rPr>
                <w:rFonts w:asciiTheme="minorHAnsi" w:hAnsiTheme="minorHAnsi" w:cstheme="minorHAnsi"/>
                <w:sz w:val="22"/>
                <w:szCs w:val="22"/>
              </w:rPr>
            </w:pPr>
            <w:r w:rsidRPr="00A24A50">
              <w:rPr>
                <w:rFonts w:asciiTheme="minorHAnsi" w:hAnsiTheme="minorHAnsi" w:cstheme="minorHAnsi"/>
                <w:sz w:val="22"/>
                <w:szCs w:val="22"/>
              </w:rPr>
              <w:t>Taux AAT dématérialisés</w:t>
            </w:r>
          </w:p>
        </w:tc>
        <w:tc>
          <w:tcPr>
            <w:tcW w:w="1084" w:type="dxa"/>
            <w:shd w:val="clear" w:color="auto" w:fill="C6D9F1" w:themeFill="text2" w:themeFillTint="33"/>
          </w:tcPr>
          <w:p w14:paraId="40FA7F2E" w14:textId="2A6657FB" w:rsidR="00E51BFF" w:rsidRPr="00871797" w:rsidRDefault="00E51BFF" w:rsidP="00E51BFF">
            <w:pPr>
              <w:pStyle w:val="Corpsdetexte"/>
              <w:spacing w:after="0"/>
              <w:jc w:val="center"/>
              <w:rPr>
                <w:rFonts w:asciiTheme="minorHAnsi" w:hAnsiTheme="minorHAnsi" w:cstheme="minorHAnsi"/>
                <w:sz w:val="22"/>
                <w:szCs w:val="22"/>
              </w:rPr>
            </w:pPr>
            <w:r w:rsidRPr="00E73067">
              <w:rPr>
                <w:rFonts w:asciiTheme="minorHAnsi" w:hAnsiTheme="minorHAnsi" w:cstheme="minorHAnsi"/>
                <w:sz w:val="22"/>
                <w:szCs w:val="22"/>
              </w:rPr>
              <w:t>XX</w:t>
            </w:r>
          </w:p>
        </w:tc>
        <w:tc>
          <w:tcPr>
            <w:tcW w:w="1251" w:type="dxa"/>
            <w:vMerge/>
            <w:shd w:val="clear" w:color="auto" w:fill="C6D9F1" w:themeFill="text2" w:themeFillTint="33"/>
            <w:vAlign w:val="center"/>
          </w:tcPr>
          <w:p w14:paraId="64EDDEC7" w14:textId="77777777" w:rsidR="00E51BFF" w:rsidRPr="00CB53C9" w:rsidRDefault="00E51BFF" w:rsidP="00E51BFF">
            <w:pPr>
              <w:pStyle w:val="Corpsdetexte"/>
              <w:spacing w:after="0"/>
              <w:jc w:val="center"/>
              <w:rPr>
                <w:rFonts w:asciiTheme="minorHAnsi" w:hAnsiTheme="minorHAnsi" w:cstheme="minorHAnsi"/>
                <w:sz w:val="22"/>
                <w:szCs w:val="22"/>
              </w:rPr>
            </w:pPr>
          </w:p>
        </w:tc>
      </w:tr>
      <w:tr w:rsidR="00E51BFF" w:rsidRPr="00871797" w14:paraId="0E91D961" w14:textId="77777777" w:rsidTr="004C6558">
        <w:tc>
          <w:tcPr>
            <w:tcW w:w="1489" w:type="dxa"/>
            <w:vMerge w:val="restart"/>
            <w:shd w:val="clear" w:color="auto" w:fill="F2DBDB" w:themeFill="accent2" w:themeFillTint="33"/>
            <w:vAlign w:val="center"/>
          </w:tcPr>
          <w:p w14:paraId="4D256FA0" w14:textId="77777777" w:rsidR="00E51BFF" w:rsidRPr="00A24A50" w:rsidRDefault="00E51BFF" w:rsidP="00E51BFF">
            <w:pPr>
              <w:pStyle w:val="Corpsdetexte"/>
              <w:spacing w:after="0"/>
              <w:jc w:val="both"/>
              <w:rPr>
                <w:rFonts w:cstheme="minorHAnsi"/>
              </w:rPr>
            </w:pPr>
            <w:r w:rsidRPr="00A24A50">
              <w:rPr>
                <w:rFonts w:asciiTheme="minorHAnsi" w:hAnsiTheme="minorHAnsi" w:cstheme="minorHAnsi"/>
                <w:sz w:val="22"/>
                <w:szCs w:val="22"/>
              </w:rPr>
              <w:t>Indicateurs optionnels</w:t>
            </w:r>
          </w:p>
        </w:tc>
        <w:tc>
          <w:tcPr>
            <w:tcW w:w="5243" w:type="dxa"/>
            <w:vAlign w:val="center"/>
          </w:tcPr>
          <w:p w14:paraId="303833DA" w14:textId="77777777" w:rsidR="00E51BFF" w:rsidRPr="00265BC0" w:rsidRDefault="00E51BFF" w:rsidP="00E51BFF">
            <w:pPr>
              <w:pStyle w:val="Corpsdetexte"/>
              <w:spacing w:after="0"/>
              <w:jc w:val="both"/>
              <w:rPr>
                <w:rFonts w:cstheme="minorHAnsi"/>
              </w:rPr>
            </w:pPr>
            <w:r w:rsidRPr="00A24A50">
              <w:rPr>
                <w:rFonts w:asciiTheme="minorHAnsi" w:hAnsiTheme="minorHAnsi" w:cstheme="minorHAnsi"/>
                <w:sz w:val="22"/>
                <w:szCs w:val="22"/>
              </w:rPr>
              <w:t>Taux de CM AT-MP</w:t>
            </w:r>
          </w:p>
        </w:tc>
        <w:tc>
          <w:tcPr>
            <w:tcW w:w="1084" w:type="dxa"/>
            <w:shd w:val="clear" w:color="auto" w:fill="F2DBDB" w:themeFill="accent2" w:themeFillTint="33"/>
          </w:tcPr>
          <w:p w14:paraId="772A0D28" w14:textId="37E50CEB" w:rsidR="00E51BFF" w:rsidRPr="00572CD4" w:rsidRDefault="00E51BFF" w:rsidP="00E51BFF">
            <w:pPr>
              <w:pStyle w:val="Corpsdetexte"/>
              <w:spacing w:after="0"/>
              <w:jc w:val="center"/>
              <w:rPr>
                <w:rFonts w:asciiTheme="minorHAnsi" w:hAnsiTheme="minorHAnsi" w:cstheme="minorHAnsi"/>
                <w:sz w:val="22"/>
                <w:szCs w:val="22"/>
              </w:rPr>
            </w:pPr>
            <w:r w:rsidRPr="00E73067">
              <w:rPr>
                <w:rFonts w:asciiTheme="minorHAnsi" w:hAnsiTheme="minorHAnsi" w:cstheme="minorHAnsi"/>
                <w:sz w:val="22"/>
                <w:szCs w:val="22"/>
              </w:rPr>
              <w:t>XX</w:t>
            </w:r>
          </w:p>
        </w:tc>
        <w:tc>
          <w:tcPr>
            <w:tcW w:w="1251" w:type="dxa"/>
            <w:shd w:val="clear" w:color="auto" w:fill="F2DBDB" w:themeFill="accent2" w:themeFillTint="33"/>
            <w:vAlign w:val="center"/>
          </w:tcPr>
          <w:p w14:paraId="2347A501" w14:textId="77777777" w:rsidR="00E51BFF" w:rsidRPr="00CB53C9" w:rsidRDefault="00E51BFF" w:rsidP="00E51BFF">
            <w:pPr>
              <w:pStyle w:val="Corpsdetexte"/>
              <w:spacing w:after="0"/>
              <w:jc w:val="center"/>
              <w:rPr>
                <w:rFonts w:asciiTheme="minorHAnsi" w:hAnsiTheme="minorHAnsi" w:cstheme="minorHAnsi"/>
                <w:sz w:val="22"/>
                <w:szCs w:val="22"/>
              </w:rPr>
            </w:pPr>
            <w:r w:rsidRPr="00CB53C9">
              <w:rPr>
                <w:rFonts w:asciiTheme="minorHAnsi" w:hAnsiTheme="minorHAnsi" w:cstheme="minorHAnsi"/>
                <w:sz w:val="22"/>
                <w:szCs w:val="22"/>
              </w:rPr>
              <w:t>20</w:t>
            </w:r>
          </w:p>
        </w:tc>
      </w:tr>
      <w:tr w:rsidR="00E51BFF" w:rsidRPr="00871797" w14:paraId="3DEB55E6" w14:textId="77777777" w:rsidTr="004C6558">
        <w:tc>
          <w:tcPr>
            <w:tcW w:w="1489" w:type="dxa"/>
            <w:vMerge/>
            <w:shd w:val="clear" w:color="auto" w:fill="F2DBDB" w:themeFill="accent2" w:themeFillTint="33"/>
            <w:vAlign w:val="center"/>
          </w:tcPr>
          <w:p w14:paraId="0C4D12B1" w14:textId="77777777" w:rsidR="00E51BFF" w:rsidRPr="00A24A50" w:rsidRDefault="00E51BFF" w:rsidP="00E51BFF">
            <w:pPr>
              <w:pStyle w:val="Corpsdetexte"/>
              <w:spacing w:after="0"/>
              <w:jc w:val="both"/>
              <w:rPr>
                <w:rFonts w:cstheme="minorHAnsi"/>
              </w:rPr>
            </w:pPr>
          </w:p>
        </w:tc>
        <w:tc>
          <w:tcPr>
            <w:tcW w:w="5243" w:type="dxa"/>
            <w:vAlign w:val="center"/>
          </w:tcPr>
          <w:p w14:paraId="03D2C97A" w14:textId="77777777" w:rsidR="00E51BFF" w:rsidRPr="00265BC0" w:rsidRDefault="00E51BFF" w:rsidP="00E51BFF">
            <w:pPr>
              <w:pStyle w:val="Corpsdetexte"/>
              <w:spacing w:after="0"/>
              <w:jc w:val="both"/>
              <w:rPr>
                <w:rFonts w:cstheme="minorHAnsi"/>
              </w:rPr>
            </w:pPr>
            <w:r w:rsidRPr="00A24A50">
              <w:rPr>
                <w:rFonts w:asciiTheme="minorHAnsi" w:hAnsiTheme="minorHAnsi" w:cstheme="minorHAnsi"/>
                <w:sz w:val="22"/>
                <w:szCs w:val="22"/>
              </w:rPr>
              <w:t>Taux de prescription électronique de transport</w:t>
            </w:r>
          </w:p>
        </w:tc>
        <w:tc>
          <w:tcPr>
            <w:tcW w:w="1084" w:type="dxa"/>
            <w:shd w:val="clear" w:color="auto" w:fill="F2DBDB" w:themeFill="accent2" w:themeFillTint="33"/>
          </w:tcPr>
          <w:p w14:paraId="4887F123" w14:textId="0D61F233" w:rsidR="00E51BFF" w:rsidRPr="00572CD4" w:rsidRDefault="00E51BFF" w:rsidP="00E51BFF">
            <w:pPr>
              <w:pStyle w:val="Corpsdetexte"/>
              <w:spacing w:after="0"/>
              <w:jc w:val="center"/>
              <w:rPr>
                <w:rFonts w:asciiTheme="minorHAnsi" w:hAnsiTheme="minorHAnsi" w:cstheme="minorHAnsi"/>
                <w:sz w:val="22"/>
                <w:szCs w:val="22"/>
              </w:rPr>
            </w:pPr>
            <w:r w:rsidRPr="00E73067">
              <w:rPr>
                <w:rFonts w:asciiTheme="minorHAnsi" w:hAnsiTheme="minorHAnsi" w:cstheme="minorHAnsi"/>
                <w:sz w:val="22"/>
                <w:szCs w:val="22"/>
              </w:rPr>
              <w:t>XX</w:t>
            </w:r>
          </w:p>
        </w:tc>
        <w:tc>
          <w:tcPr>
            <w:tcW w:w="1251" w:type="dxa"/>
            <w:shd w:val="clear" w:color="auto" w:fill="F2DBDB" w:themeFill="accent2" w:themeFillTint="33"/>
            <w:vAlign w:val="center"/>
          </w:tcPr>
          <w:p w14:paraId="223A9ED0" w14:textId="77777777" w:rsidR="00E51BFF" w:rsidRPr="00CB53C9" w:rsidRDefault="00E51BFF" w:rsidP="00E51BFF">
            <w:pPr>
              <w:pStyle w:val="Corpsdetexte"/>
              <w:spacing w:after="0"/>
              <w:jc w:val="center"/>
              <w:rPr>
                <w:rFonts w:asciiTheme="minorHAnsi" w:hAnsiTheme="minorHAnsi" w:cstheme="minorHAnsi"/>
                <w:sz w:val="22"/>
                <w:szCs w:val="22"/>
              </w:rPr>
            </w:pPr>
            <w:r w:rsidRPr="001A2FFA">
              <w:rPr>
                <w:rFonts w:asciiTheme="minorHAnsi" w:hAnsiTheme="minorHAnsi" w:cstheme="minorHAnsi"/>
                <w:sz w:val="22"/>
                <w:szCs w:val="22"/>
              </w:rPr>
              <w:t>20</w:t>
            </w:r>
          </w:p>
        </w:tc>
      </w:tr>
      <w:tr w:rsidR="00E51BFF" w:rsidRPr="00871797" w14:paraId="0F8B0537" w14:textId="77777777" w:rsidTr="004C6558">
        <w:tc>
          <w:tcPr>
            <w:tcW w:w="1489" w:type="dxa"/>
            <w:vMerge/>
            <w:shd w:val="clear" w:color="auto" w:fill="F2DBDB" w:themeFill="accent2" w:themeFillTint="33"/>
            <w:vAlign w:val="center"/>
          </w:tcPr>
          <w:p w14:paraId="084B2536" w14:textId="77777777" w:rsidR="00E51BFF" w:rsidRPr="00A24A50" w:rsidRDefault="00E51BFF" w:rsidP="00E51BFF">
            <w:pPr>
              <w:pStyle w:val="Corpsdetexte"/>
              <w:spacing w:after="0"/>
              <w:jc w:val="both"/>
              <w:rPr>
                <w:rFonts w:cstheme="minorHAnsi"/>
              </w:rPr>
            </w:pPr>
          </w:p>
        </w:tc>
        <w:tc>
          <w:tcPr>
            <w:tcW w:w="5243" w:type="dxa"/>
            <w:vAlign w:val="center"/>
          </w:tcPr>
          <w:p w14:paraId="45DF3520" w14:textId="77777777" w:rsidR="00E51BFF" w:rsidRPr="00265BC0" w:rsidRDefault="00E51BFF" w:rsidP="00E51BFF">
            <w:pPr>
              <w:pStyle w:val="Corpsdetexte"/>
              <w:spacing w:after="0"/>
              <w:jc w:val="both"/>
              <w:rPr>
                <w:rFonts w:cstheme="minorHAnsi"/>
              </w:rPr>
            </w:pPr>
            <w:r w:rsidRPr="00A24A50">
              <w:rPr>
                <w:rFonts w:asciiTheme="minorHAnsi" w:hAnsiTheme="minorHAnsi" w:cstheme="minorHAnsi"/>
                <w:sz w:val="22"/>
                <w:szCs w:val="22"/>
              </w:rPr>
              <w:t>Taux de déclaration simplifiée de grossesse en ligne</w:t>
            </w:r>
          </w:p>
        </w:tc>
        <w:tc>
          <w:tcPr>
            <w:tcW w:w="1084" w:type="dxa"/>
            <w:shd w:val="clear" w:color="auto" w:fill="F2DBDB" w:themeFill="accent2" w:themeFillTint="33"/>
          </w:tcPr>
          <w:p w14:paraId="1F05E26C" w14:textId="573A04B7" w:rsidR="00E51BFF" w:rsidRPr="00572CD4" w:rsidRDefault="00E51BFF" w:rsidP="00E51BFF">
            <w:pPr>
              <w:pStyle w:val="Corpsdetexte"/>
              <w:spacing w:after="0"/>
              <w:jc w:val="center"/>
              <w:rPr>
                <w:rFonts w:asciiTheme="minorHAnsi" w:hAnsiTheme="minorHAnsi" w:cstheme="minorHAnsi"/>
                <w:sz w:val="22"/>
                <w:szCs w:val="22"/>
              </w:rPr>
            </w:pPr>
            <w:r w:rsidRPr="00E73067">
              <w:rPr>
                <w:rFonts w:asciiTheme="minorHAnsi" w:hAnsiTheme="minorHAnsi" w:cstheme="minorHAnsi"/>
                <w:sz w:val="22"/>
                <w:szCs w:val="22"/>
              </w:rPr>
              <w:t>XX</w:t>
            </w:r>
          </w:p>
        </w:tc>
        <w:tc>
          <w:tcPr>
            <w:tcW w:w="1251" w:type="dxa"/>
            <w:shd w:val="clear" w:color="auto" w:fill="F2DBDB" w:themeFill="accent2" w:themeFillTint="33"/>
            <w:vAlign w:val="center"/>
          </w:tcPr>
          <w:p w14:paraId="3FCBFBE3" w14:textId="77777777" w:rsidR="00E51BFF" w:rsidRDefault="00E51BFF" w:rsidP="00E51BFF">
            <w:pPr>
              <w:pStyle w:val="Corpsdetexte"/>
              <w:spacing w:after="0"/>
              <w:jc w:val="center"/>
              <w:rPr>
                <w:rFonts w:cstheme="minorHAnsi"/>
              </w:rPr>
            </w:pPr>
            <w:r w:rsidRPr="001A2FFA">
              <w:rPr>
                <w:rFonts w:asciiTheme="minorHAnsi" w:hAnsiTheme="minorHAnsi" w:cstheme="minorHAnsi"/>
                <w:sz w:val="22"/>
                <w:szCs w:val="22"/>
              </w:rPr>
              <w:t>20</w:t>
            </w:r>
          </w:p>
        </w:tc>
      </w:tr>
      <w:tr w:rsidR="00E51BFF" w:rsidRPr="00871797" w14:paraId="2CBC5453" w14:textId="77777777" w:rsidTr="004C6558">
        <w:tc>
          <w:tcPr>
            <w:tcW w:w="1489" w:type="dxa"/>
            <w:vMerge/>
            <w:shd w:val="clear" w:color="auto" w:fill="F2DBDB" w:themeFill="accent2" w:themeFillTint="33"/>
            <w:vAlign w:val="center"/>
          </w:tcPr>
          <w:p w14:paraId="6353C8F9" w14:textId="77777777" w:rsidR="00E51BFF" w:rsidRPr="00871797" w:rsidRDefault="00E51BFF" w:rsidP="00E51BFF">
            <w:pPr>
              <w:pStyle w:val="Corpsdetexte"/>
              <w:spacing w:after="0"/>
              <w:jc w:val="both"/>
              <w:rPr>
                <w:rFonts w:cstheme="minorHAnsi"/>
              </w:rPr>
            </w:pPr>
          </w:p>
        </w:tc>
        <w:tc>
          <w:tcPr>
            <w:tcW w:w="5243" w:type="dxa"/>
            <w:vAlign w:val="center"/>
          </w:tcPr>
          <w:p w14:paraId="2051E8ED" w14:textId="77777777" w:rsidR="00E51BFF" w:rsidRPr="00265BC0" w:rsidRDefault="00E51BFF" w:rsidP="00E51BFF">
            <w:pPr>
              <w:pStyle w:val="Corpsdetexte"/>
              <w:spacing w:after="0"/>
              <w:jc w:val="both"/>
              <w:rPr>
                <w:rFonts w:cstheme="minorHAnsi"/>
              </w:rPr>
            </w:pPr>
            <w:r w:rsidRPr="00A24A50">
              <w:rPr>
                <w:rFonts w:asciiTheme="minorHAnsi" w:hAnsiTheme="minorHAnsi" w:cstheme="minorHAnsi"/>
                <w:sz w:val="22"/>
                <w:szCs w:val="22"/>
              </w:rPr>
              <w:t>Taux d’usage de la messagerie de santé Mon espace santé</w:t>
            </w:r>
          </w:p>
        </w:tc>
        <w:tc>
          <w:tcPr>
            <w:tcW w:w="1084" w:type="dxa"/>
            <w:shd w:val="clear" w:color="auto" w:fill="F2DBDB" w:themeFill="accent2" w:themeFillTint="33"/>
          </w:tcPr>
          <w:p w14:paraId="0161983B" w14:textId="402F9DF8" w:rsidR="00E51BFF" w:rsidRPr="00572CD4" w:rsidRDefault="00E51BFF" w:rsidP="00E51BFF">
            <w:pPr>
              <w:pStyle w:val="Corpsdetexte"/>
              <w:spacing w:after="0"/>
              <w:jc w:val="center"/>
              <w:rPr>
                <w:rFonts w:asciiTheme="minorHAnsi" w:hAnsiTheme="minorHAnsi" w:cstheme="minorHAnsi"/>
                <w:sz w:val="22"/>
                <w:szCs w:val="22"/>
              </w:rPr>
            </w:pPr>
            <w:r w:rsidRPr="00E73067">
              <w:rPr>
                <w:rFonts w:asciiTheme="minorHAnsi" w:hAnsiTheme="minorHAnsi" w:cstheme="minorHAnsi"/>
                <w:sz w:val="22"/>
                <w:szCs w:val="22"/>
              </w:rPr>
              <w:t>XX</w:t>
            </w:r>
          </w:p>
        </w:tc>
        <w:tc>
          <w:tcPr>
            <w:tcW w:w="1251" w:type="dxa"/>
            <w:shd w:val="clear" w:color="auto" w:fill="F2DBDB" w:themeFill="accent2" w:themeFillTint="33"/>
            <w:vAlign w:val="center"/>
          </w:tcPr>
          <w:p w14:paraId="1819B187" w14:textId="77777777" w:rsidR="00E51BFF" w:rsidRPr="00572CD4" w:rsidRDefault="00E51BFF" w:rsidP="00E51BFF">
            <w:pPr>
              <w:pStyle w:val="Corpsdetexte"/>
              <w:spacing w:after="0"/>
              <w:jc w:val="center"/>
              <w:rPr>
                <w:rFonts w:cstheme="minorHAnsi"/>
              </w:rPr>
            </w:pPr>
            <w:r w:rsidRPr="001A2FFA">
              <w:rPr>
                <w:rFonts w:asciiTheme="minorHAnsi" w:hAnsiTheme="minorHAnsi" w:cstheme="minorHAnsi"/>
                <w:sz w:val="22"/>
                <w:szCs w:val="22"/>
              </w:rPr>
              <w:t>20</w:t>
            </w:r>
          </w:p>
        </w:tc>
      </w:tr>
      <w:tr w:rsidR="00E51BFF" w:rsidRPr="00871797" w14:paraId="1B412B70" w14:textId="77777777" w:rsidTr="004C6558">
        <w:tc>
          <w:tcPr>
            <w:tcW w:w="1489" w:type="dxa"/>
            <w:vMerge/>
            <w:shd w:val="clear" w:color="auto" w:fill="F2DBDB" w:themeFill="accent2" w:themeFillTint="33"/>
            <w:vAlign w:val="center"/>
          </w:tcPr>
          <w:p w14:paraId="4FFBAFAF" w14:textId="77777777" w:rsidR="00E51BFF" w:rsidRPr="00871797" w:rsidRDefault="00E51BFF" w:rsidP="00E51BFF">
            <w:pPr>
              <w:pStyle w:val="Corpsdetexte"/>
              <w:spacing w:after="0"/>
              <w:jc w:val="both"/>
              <w:rPr>
                <w:rFonts w:cstheme="minorHAnsi"/>
              </w:rPr>
            </w:pPr>
          </w:p>
        </w:tc>
        <w:tc>
          <w:tcPr>
            <w:tcW w:w="5243" w:type="dxa"/>
            <w:vAlign w:val="center"/>
          </w:tcPr>
          <w:p w14:paraId="058F9F43" w14:textId="77777777" w:rsidR="00E51BFF" w:rsidRPr="00265BC0" w:rsidRDefault="00E51BFF" w:rsidP="00E51BFF">
            <w:pPr>
              <w:pStyle w:val="Corpsdetexte"/>
              <w:spacing w:after="0"/>
              <w:jc w:val="both"/>
              <w:rPr>
                <w:rFonts w:cstheme="minorHAnsi"/>
              </w:rPr>
            </w:pPr>
            <w:r w:rsidRPr="00265BC0">
              <w:rPr>
                <w:rFonts w:asciiTheme="minorHAnsi" w:hAnsiTheme="minorHAnsi" w:cstheme="minorHAnsi"/>
                <w:sz w:val="22"/>
                <w:szCs w:val="22"/>
              </w:rPr>
              <w:t>Taux d’alimentation DMP</w:t>
            </w:r>
          </w:p>
        </w:tc>
        <w:tc>
          <w:tcPr>
            <w:tcW w:w="1084" w:type="dxa"/>
            <w:shd w:val="clear" w:color="auto" w:fill="F2DBDB" w:themeFill="accent2" w:themeFillTint="33"/>
          </w:tcPr>
          <w:p w14:paraId="71DD7E7D" w14:textId="17EB0091" w:rsidR="00E51BFF" w:rsidRPr="00572CD4" w:rsidRDefault="00E51BFF" w:rsidP="00E51BFF">
            <w:pPr>
              <w:pStyle w:val="Corpsdetexte"/>
              <w:spacing w:after="0"/>
              <w:jc w:val="center"/>
              <w:rPr>
                <w:rFonts w:asciiTheme="minorHAnsi" w:hAnsiTheme="minorHAnsi" w:cstheme="minorHAnsi"/>
                <w:sz w:val="22"/>
                <w:szCs w:val="22"/>
              </w:rPr>
            </w:pPr>
            <w:r w:rsidRPr="00E73067">
              <w:rPr>
                <w:rFonts w:asciiTheme="minorHAnsi" w:hAnsiTheme="minorHAnsi" w:cstheme="minorHAnsi"/>
                <w:sz w:val="22"/>
                <w:szCs w:val="22"/>
              </w:rPr>
              <w:t>XX</w:t>
            </w:r>
          </w:p>
        </w:tc>
        <w:tc>
          <w:tcPr>
            <w:tcW w:w="1251" w:type="dxa"/>
            <w:shd w:val="clear" w:color="auto" w:fill="F2DBDB" w:themeFill="accent2" w:themeFillTint="33"/>
            <w:vAlign w:val="center"/>
          </w:tcPr>
          <w:p w14:paraId="594A879B" w14:textId="77777777" w:rsidR="00E51BFF" w:rsidRPr="00572CD4" w:rsidRDefault="00E51BFF" w:rsidP="00E51BFF">
            <w:pPr>
              <w:pStyle w:val="Corpsdetexte"/>
              <w:spacing w:after="0"/>
              <w:jc w:val="center"/>
              <w:rPr>
                <w:rFonts w:cstheme="minorHAnsi"/>
              </w:rPr>
            </w:pPr>
            <w:r w:rsidRPr="001A2FFA">
              <w:rPr>
                <w:rFonts w:asciiTheme="minorHAnsi" w:hAnsiTheme="minorHAnsi" w:cstheme="minorHAnsi"/>
                <w:sz w:val="22"/>
                <w:szCs w:val="22"/>
              </w:rPr>
              <w:t>20</w:t>
            </w:r>
          </w:p>
        </w:tc>
      </w:tr>
      <w:tr w:rsidR="00E51BFF" w:rsidRPr="00871797" w14:paraId="1EDC8FD8" w14:textId="77777777" w:rsidTr="004C6558">
        <w:tc>
          <w:tcPr>
            <w:tcW w:w="1489" w:type="dxa"/>
            <w:vMerge/>
            <w:shd w:val="clear" w:color="auto" w:fill="F2DBDB" w:themeFill="accent2" w:themeFillTint="33"/>
            <w:vAlign w:val="center"/>
          </w:tcPr>
          <w:p w14:paraId="2E2C3145" w14:textId="77777777" w:rsidR="00E51BFF" w:rsidRPr="00871797" w:rsidRDefault="00E51BFF" w:rsidP="00E51BFF">
            <w:pPr>
              <w:pStyle w:val="Corpsdetexte"/>
              <w:spacing w:after="0"/>
              <w:jc w:val="both"/>
              <w:rPr>
                <w:rFonts w:asciiTheme="minorHAnsi" w:hAnsiTheme="minorHAnsi" w:cstheme="minorHAnsi"/>
                <w:sz w:val="22"/>
                <w:szCs w:val="22"/>
              </w:rPr>
            </w:pPr>
          </w:p>
        </w:tc>
        <w:tc>
          <w:tcPr>
            <w:tcW w:w="5243" w:type="dxa"/>
            <w:vAlign w:val="center"/>
          </w:tcPr>
          <w:p w14:paraId="706AE5C7" w14:textId="77777777" w:rsidR="00E51BFF" w:rsidRPr="00265BC0" w:rsidRDefault="00E51BFF" w:rsidP="00E51BFF">
            <w:pPr>
              <w:pStyle w:val="Corpsdetexte"/>
              <w:spacing w:after="0"/>
              <w:jc w:val="both"/>
              <w:rPr>
                <w:rFonts w:asciiTheme="minorHAnsi" w:hAnsiTheme="minorHAnsi" w:cstheme="minorHAnsi"/>
                <w:sz w:val="22"/>
                <w:szCs w:val="22"/>
              </w:rPr>
            </w:pPr>
            <w:r w:rsidRPr="00265BC0">
              <w:rPr>
                <w:rFonts w:asciiTheme="minorHAnsi" w:hAnsiTheme="minorHAnsi" w:cstheme="minorHAnsi"/>
                <w:sz w:val="22"/>
                <w:szCs w:val="22"/>
              </w:rPr>
              <w:t>Taux d’ordonnances numériques</w:t>
            </w:r>
          </w:p>
        </w:tc>
        <w:tc>
          <w:tcPr>
            <w:tcW w:w="1084" w:type="dxa"/>
            <w:shd w:val="clear" w:color="auto" w:fill="F2DBDB" w:themeFill="accent2" w:themeFillTint="33"/>
          </w:tcPr>
          <w:p w14:paraId="4FFDE898" w14:textId="5D81F0C4" w:rsidR="00E51BFF" w:rsidRPr="00572CD4" w:rsidRDefault="00E51BFF" w:rsidP="00E51BFF">
            <w:pPr>
              <w:pStyle w:val="Corpsdetexte"/>
              <w:spacing w:after="0"/>
              <w:jc w:val="center"/>
              <w:rPr>
                <w:rFonts w:asciiTheme="minorHAnsi" w:hAnsiTheme="minorHAnsi" w:cstheme="minorHAnsi"/>
                <w:sz w:val="22"/>
                <w:szCs w:val="22"/>
              </w:rPr>
            </w:pPr>
            <w:r w:rsidRPr="00E73067">
              <w:rPr>
                <w:rFonts w:asciiTheme="minorHAnsi" w:hAnsiTheme="minorHAnsi" w:cstheme="minorHAnsi"/>
                <w:sz w:val="22"/>
                <w:szCs w:val="22"/>
              </w:rPr>
              <w:t>XX</w:t>
            </w:r>
          </w:p>
        </w:tc>
        <w:tc>
          <w:tcPr>
            <w:tcW w:w="1251" w:type="dxa"/>
            <w:shd w:val="clear" w:color="auto" w:fill="F2DBDB" w:themeFill="accent2" w:themeFillTint="33"/>
            <w:vAlign w:val="center"/>
          </w:tcPr>
          <w:p w14:paraId="5AD0FF3C" w14:textId="77777777" w:rsidR="00E51BFF" w:rsidRPr="00572CD4" w:rsidRDefault="00E51BFF" w:rsidP="00E51BFF">
            <w:pPr>
              <w:pStyle w:val="Corpsdetexte"/>
              <w:spacing w:after="0"/>
              <w:jc w:val="center"/>
              <w:rPr>
                <w:rFonts w:cstheme="minorHAnsi"/>
              </w:rPr>
            </w:pPr>
            <w:r w:rsidRPr="001A2FFA">
              <w:rPr>
                <w:rFonts w:asciiTheme="minorHAnsi" w:hAnsiTheme="minorHAnsi" w:cstheme="minorHAnsi"/>
                <w:sz w:val="22"/>
                <w:szCs w:val="22"/>
              </w:rPr>
              <w:t>20</w:t>
            </w:r>
          </w:p>
        </w:tc>
      </w:tr>
      <w:tr w:rsidR="00E51BFF" w:rsidRPr="00871797" w14:paraId="2062084D" w14:textId="77777777" w:rsidTr="004C6558">
        <w:trPr>
          <w:trHeight w:val="64"/>
        </w:trPr>
        <w:tc>
          <w:tcPr>
            <w:tcW w:w="1489" w:type="dxa"/>
            <w:vMerge/>
            <w:shd w:val="clear" w:color="auto" w:fill="F2DBDB" w:themeFill="accent2" w:themeFillTint="33"/>
            <w:vAlign w:val="center"/>
          </w:tcPr>
          <w:p w14:paraId="0E870C4A" w14:textId="77777777" w:rsidR="00E51BFF" w:rsidRPr="00871797" w:rsidRDefault="00E51BFF" w:rsidP="00E51BFF">
            <w:pPr>
              <w:pStyle w:val="Corpsdetexte"/>
              <w:spacing w:after="0"/>
              <w:jc w:val="both"/>
              <w:rPr>
                <w:rFonts w:asciiTheme="minorHAnsi" w:hAnsiTheme="minorHAnsi" w:cstheme="minorHAnsi"/>
                <w:sz w:val="22"/>
                <w:szCs w:val="22"/>
              </w:rPr>
            </w:pPr>
          </w:p>
        </w:tc>
        <w:tc>
          <w:tcPr>
            <w:tcW w:w="5243" w:type="dxa"/>
            <w:vAlign w:val="center"/>
          </w:tcPr>
          <w:p w14:paraId="6DEF3CE9" w14:textId="77777777" w:rsidR="00E51BFF" w:rsidRPr="00265BC0" w:rsidRDefault="00E51BFF" w:rsidP="00E51BFF">
            <w:pPr>
              <w:pStyle w:val="Corpsdetexte"/>
              <w:spacing w:after="0"/>
              <w:jc w:val="both"/>
              <w:rPr>
                <w:rFonts w:asciiTheme="minorHAnsi" w:hAnsiTheme="minorHAnsi" w:cstheme="minorHAnsi"/>
                <w:sz w:val="22"/>
                <w:szCs w:val="22"/>
              </w:rPr>
            </w:pPr>
            <w:r w:rsidRPr="00A24A50">
              <w:rPr>
                <w:rFonts w:asciiTheme="minorHAnsi" w:hAnsiTheme="minorHAnsi" w:cstheme="minorHAnsi"/>
                <w:sz w:val="22"/>
                <w:szCs w:val="22"/>
              </w:rPr>
              <w:t xml:space="preserve">Usage de l’application carte </w:t>
            </w:r>
            <w:r>
              <w:rPr>
                <w:rFonts w:asciiTheme="minorHAnsi" w:hAnsiTheme="minorHAnsi" w:cstheme="minorHAnsi"/>
                <w:sz w:val="22"/>
                <w:szCs w:val="22"/>
              </w:rPr>
              <w:t>V</w:t>
            </w:r>
            <w:r w:rsidRPr="00A24A50">
              <w:rPr>
                <w:rFonts w:asciiTheme="minorHAnsi" w:hAnsiTheme="minorHAnsi" w:cstheme="minorHAnsi"/>
                <w:sz w:val="22"/>
                <w:szCs w:val="22"/>
              </w:rPr>
              <w:t>itale</w:t>
            </w:r>
          </w:p>
        </w:tc>
        <w:tc>
          <w:tcPr>
            <w:tcW w:w="1084" w:type="dxa"/>
            <w:shd w:val="clear" w:color="auto" w:fill="F2DBDB" w:themeFill="accent2" w:themeFillTint="33"/>
          </w:tcPr>
          <w:p w14:paraId="0E00A22C" w14:textId="2669E42C" w:rsidR="00E51BFF" w:rsidRPr="00572CD4" w:rsidRDefault="00E51BFF" w:rsidP="00E51BFF">
            <w:pPr>
              <w:pStyle w:val="Corpsdetexte"/>
              <w:spacing w:after="0"/>
              <w:jc w:val="center"/>
              <w:rPr>
                <w:rFonts w:asciiTheme="minorHAnsi" w:hAnsiTheme="minorHAnsi" w:cstheme="minorHAnsi"/>
                <w:sz w:val="22"/>
                <w:szCs w:val="22"/>
              </w:rPr>
            </w:pPr>
            <w:r w:rsidRPr="00E73067">
              <w:rPr>
                <w:rFonts w:asciiTheme="minorHAnsi" w:hAnsiTheme="minorHAnsi" w:cstheme="minorHAnsi"/>
                <w:sz w:val="22"/>
                <w:szCs w:val="22"/>
              </w:rPr>
              <w:t>XX</w:t>
            </w:r>
          </w:p>
        </w:tc>
        <w:tc>
          <w:tcPr>
            <w:tcW w:w="1251" w:type="dxa"/>
            <w:shd w:val="clear" w:color="auto" w:fill="F2DBDB" w:themeFill="accent2" w:themeFillTint="33"/>
            <w:vAlign w:val="center"/>
          </w:tcPr>
          <w:p w14:paraId="495A1846" w14:textId="77777777" w:rsidR="00E51BFF" w:rsidRDefault="00E51BFF" w:rsidP="00E51BFF">
            <w:pPr>
              <w:pStyle w:val="Corpsdetexte"/>
              <w:spacing w:after="0"/>
              <w:jc w:val="center"/>
              <w:rPr>
                <w:rFonts w:cstheme="minorHAnsi"/>
              </w:rPr>
            </w:pPr>
            <w:r w:rsidRPr="001A2FFA">
              <w:rPr>
                <w:rFonts w:asciiTheme="minorHAnsi" w:hAnsiTheme="minorHAnsi" w:cstheme="minorHAnsi"/>
                <w:sz w:val="22"/>
                <w:szCs w:val="22"/>
              </w:rPr>
              <w:t>20</w:t>
            </w:r>
          </w:p>
        </w:tc>
      </w:tr>
    </w:tbl>
    <w:p w14:paraId="6BE547C3" w14:textId="77777777" w:rsidR="000C652B" w:rsidRDefault="000C652B" w:rsidP="000C652B">
      <w:pPr>
        <w:spacing w:after="0" w:line="240" w:lineRule="auto"/>
        <w:jc w:val="both"/>
        <w:rPr>
          <w:rFonts w:cstheme="minorHAnsi"/>
        </w:rPr>
      </w:pPr>
    </w:p>
    <w:p w14:paraId="55FF0338" w14:textId="3BBB2DF7" w:rsidR="000179AE" w:rsidRDefault="000C652B" w:rsidP="000C652B">
      <w:pPr>
        <w:spacing w:after="0" w:line="240" w:lineRule="auto"/>
        <w:jc w:val="both"/>
        <w:rPr>
          <w:rFonts w:cstheme="minorHAnsi"/>
        </w:rPr>
      </w:pPr>
      <w:r>
        <w:rPr>
          <w:rFonts w:cstheme="minorHAnsi"/>
        </w:rPr>
        <w:t xml:space="preserve">Les modalités de calcul des indicateurs sont détaillées en annexe </w:t>
      </w:r>
      <w:r w:rsidRPr="00E65BF5">
        <w:rPr>
          <w:rFonts w:cstheme="minorHAnsi"/>
          <w:highlight w:val="yellow"/>
        </w:rPr>
        <w:t>XX</w:t>
      </w:r>
      <w:r>
        <w:rPr>
          <w:rFonts w:cstheme="minorHAnsi"/>
        </w:rPr>
        <w:t xml:space="preserve"> de la présente convention et font l’objet de la publication </w:t>
      </w:r>
      <w:r w:rsidR="0030105F">
        <w:rPr>
          <w:rFonts w:cstheme="minorHAnsi"/>
        </w:rPr>
        <w:t xml:space="preserve">sur amelipro </w:t>
      </w:r>
      <w:r>
        <w:rPr>
          <w:rFonts w:cstheme="minorHAnsi"/>
        </w:rPr>
        <w:t>d’un guide méthodologique mis à jour chaque année.</w:t>
      </w:r>
      <w:r w:rsidR="0052251F" w:rsidRPr="0052251F">
        <w:rPr>
          <w:rFonts w:cstheme="minorHAnsi"/>
        </w:rPr>
        <w:t xml:space="preserve"> </w:t>
      </w:r>
    </w:p>
    <w:p w14:paraId="332B4D17" w14:textId="77777777" w:rsidR="000179AE" w:rsidRDefault="000179AE" w:rsidP="000C652B">
      <w:pPr>
        <w:spacing w:after="0" w:line="240" w:lineRule="auto"/>
        <w:jc w:val="both"/>
        <w:rPr>
          <w:rFonts w:cstheme="minorHAnsi"/>
        </w:rPr>
      </w:pPr>
    </w:p>
    <w:p w14:paraId="1F394BB7" w14:textId="77777777" w:rsidR="000C652B" w:rsidRDefault="0052251F" w:rsidP="000C652B">
      <w:pPr>
        <w:spacing w:after="0" w:line="240" w:lineRule="auto"/>
        <w:jc w:val="both"/>
        <w:rPr>
          <w:rFonts w:cstheme="minorHAnsi"/>
        </w:rPr>
      </w:pPr>
      <w:r w:rsidRPr="00A24A50">
        <w:rPr>
          <w:rFonts w:cstheme="minorHAnsi"/>
        </w:rPr>
        <w:t>La valeur du point est fixée à 7 euros. </w:t>
      </w:r>
    </w:p>
    <w:p w14:paraId="741A7595" w14:textId="77777777" w:rsidR="000C652B" w:rsidRDefault="000C652B" w:rsidP="000C652B">
      <w:pPr>
        <w:spacing w:after="0" w:line="240" w:lineRule="auto"/>
        <w:jc w:val="both"/>
        <w:rPr>
          <w:rFonts w:cstheme="minorHAnsi"/>
        </w:rPr>
      </w:pPr>
    </w:p>
    <w:p w14:paraId="361DC79F" w14:textId="710DA8CD" w:rsidR="000C652B" w:rsidRDefault="000C652B" w:rsidP="000C652B">
      <w:pPr>
        <w:spacing w:after="0" w:line="240" w:lineRule="auto"/>
        <w:jc w:val="both"/>
        <w:rPr>
          <w:rFonts w:cstheme="minorHAnsi"/>
        </w:rPr>
      </w:pPr>
      <w:r>
        <w:rPr>
          <w:rFonts w:cstheme="minorHAnsi"/>
        </w:rPr>
        <w:t>L’</w:t>
      </w:r>
      <w:r w:rsidR="00682DB9">
        <w:rPr>
          <w:rFonts w:cstheme="minorHAnsi"/>
        </w:rPr>
        <w:t>A</w:t>
      </w:r>
      <w:r>
        <w:rPr>
          <w:rFonts w:cstheme="minorHAnsi"/>
        </w:rPr>
        <w:t xml:space="preserve">ssurance maladie met à disposition trimestriellement le suivi </w:t>
      </w:r>
      <w:r w:rsidR="00C421EC">
        <w:rPr>
          <w:rFonts w:cstheme="minorHAnsi"/>
        </w:rPr>
        <w:t xml:space="preserve">de l’atteinte </w:t>
      </w:r>
      <w:r>
        <w:rPr>
          <w:rFonts w:cstheme="minorHAnsi"/>
        </w:rPr>
        <w:t>des indicateurs.</w:t>
      </w:r>
    </w:p>
    <w:p w14:paraId="2F7FE738" w14:textId="77777777" w:rsidR="0052251F" w:rsidRDefault="0052251F" w:rsidP="0052251F">
      <w:pPr>
        <w:spacing w:after="0" w:line="240" w:lineRule="auto"/>
        <w:jc w:val="both"/>
        <w:rPr>
          <w:rFonts w:cstheme="minorHAnsi"/>
        </w:rPr>
      </w:pPr>
    </w:p>
    <w:p w14:paraId="58D61B9F" w14:textId="77D4A8D2" w:rsidR="0052251F" w:rsidRDefault="0052251F" w:rsidP="0052251F">
      <w:pPr>
        <w:spacing w:after="0" w:line="240" w:lineRule="auto"/>
        <w:jc w:val="both"/>
        <w:rPr>
          <w:rFonts w:cstheme="minorHAnsi"/>
        </w:rPr>
      </w:pPr>
      <w:r>
        <w:rPr>
          <w:rFonts w:cstheme="minorHAnsi"/>
        </w:rPr>
        <w:t xml:space="preserve">Une rémunération annuelle est versée </w:t>
      </w:r>
      <w:r w:rsidR="00C421EC">
        <w:rPr>
          <w:rFonts w:cstheme="minorHAnsi"/>
        </w:rPr>
        <w:t>au 1</w:t>
      </w:r>
      <w:r w:rsidR="00C421EC" w:rsidRPr="0052251F">
        <w:rPr>
          <w:rFonts w:cstheme="minorHAnsi"/>
          <w:vertAlign w:val="superscript"/>
        </w:rPr>
        <w:t>er</w:t>
      </w:r>
      <w:r w:rsidR="00C421EC">
        <w:rPr>
          <w:rFonts w:cstheme="minorHAnsi"/>
        </w:rPr>
        <w:t xml:space="preserve"> semestre de l’année N</w:t>
      </w:r>
      <w:r w:rsidR="0030105F">
        <w:rPr>
          <w:rFonts w:cstheme="minorHAnsi"/>
        </w:rPr>
        <w:t>+1</w:t>
      </w:r>
      <w:r w:rsidR="00C421EC">
        <w:rPr>
          <w:rFonts w:cstheme="minorHAnsi"/>
        </w:rPr>
        <w:t xml:space="preserve"> </w:t>
      </w:r>
      <w:r>
        <w:rPr>
          <w:rFonts w:cstheme="minorHAnsi"/>
        </w:rPr>
        <w:t xml:space="preserve">sur la base de l’atteinte des indicateurs au 31/12 de chaque année N. </w:t>
      </w:r>
    </w:p>
    <w:p w14:paraId="345D891C" w14:textId="0361C4BA" w:rsidR="0032506B" w:rsidRDefault="0032506B" w:rsidP="0052251F">
      <w:pPr>
        <w:spacing w:after="0" w:line="240" w:lineRule="auto"/>
        <w:jc w:val="both"/>
        <w:rPr>
          <w:rFonts w:cstheme="minorHAnsi"/>
        </w:rPr>
      </w:pPr>
    </w:p>
    <w:p w14:paraId="02718879" w14:textId="77777777" w:rsidR="0032506B" w:rsidRDefault="0032506B" w:rsidP="0032506B">
      <w:pPr>
        <w:spacing w:after="0"/>
        <w:jc w:val="both"/>
      </w:pPr>
    </w:p>
    <w:p w14:paraId="1012092A" w14:textId="36EB7844" w:rsidR="0032506B" w:rsidRPr="0032506B" w:rsidRDefault="0032506B" w:rsidP="0032506B">
      <w:pPr>
        <w:spacing w:after="0"/>
        <w:jc w:val="both"/>
      </w:pPr>
      <w:r w:rsidRPr="0032506B">
        <w:t>Article XX : Entrée en vigueur du dispositif </w:t>
      </w:r>
    </w:p>
    <w:p w14:paraId="1EF64768" w14:textId="77777777" w:rsidR="0032506B" w:rsidRPr="0032506B" w:rsidRDefault="0032506B" w:rsidP="0032506B">
      <w:pPr>
        <w:spacing w:after="0"/>
        <w:jc w:val="both"/>
      </w:pPr>
    </w:p>
    <w:p w14:paraId="691E2EA1" w14:textId="77777777" w:rsidR="0032506B" w:rsidRPr="0032506B" w:rsidRDefault="0032506B" w:rsidP="0032506B">
      <w:pPr>
        <w:autoSpaceDE w:val="0"/>
        <w:autoSpaceDN w:val="0"/>
        <w:adjustRightInd w:val="0"/>
        <w:spacing w:after="0" w:line="240" w:lineRule="auto"/>
      </w:pPr>
      <w:r w:rsidRPr="0032506B">
        <w:t xml:space="preserve">Le dispositif précité entre en vigueur à partir du XX. </w:t>
      </w:r>
    </w:p>
    <w:p w14:paraId="45EFCC20" w14:textId="77777777" w:rsidR="0032506B" w:rsidRPr="0032506B" w:rsidRDefault="0032506B" w:rsidP="0032506B">
      <w:pPr>
        <w:autoSpaceDE w:val="0"/>
        <w:autoSpaceDN w:val="0"/>
        <w:adjustRightInd w:val="0"/>
        <w:spacing w:after="0" w:line="240" w:lineRule="auto"/>
      </w:pPr>
    </w:p>
    <w:p w14:paraId="1B76C836" w14:textId="77777777" w:rsidR="0032506B" w:rsidRPr="005D401D" w:rsidRDefault="0032506B" w:rsidP="0032506B">
      <w:pPr>
        <w:autoSpaceDE w:val="0"/>
        <w:autoSpaceDN w:val="0"/>
        <w:adjustRightInd w:val="0"/>
        <w:spacing w:after="0" w:line="240" w:lineRule="auto"/>
        <w:jc w:val="both"/>
      </w:pPr>
      <w:r w:rsidRPr="0032506B">
        <w:t xml:space="preserve">A titre provisoire, les dispositions relatives au forfait </w:t>
      </w:r>
      <w:proofErr w:type="gramStart"/>
      <w:r w:rsidRPr="0032506B">
        <w:t>structure</w:t>
      </w:r>
      <w:proofErr w:type="gramEnd"/>
      <w:r w:rsidRPr="0032506B">
        <w:rPr>
          <w:rFonts w:cstheme="minorHAnsi"/>
        </w:rPr>
        <w:t xml:space="preserve"> </w:t>
      </w:r>
      <w:r w:rsidRPr="0032506B">
        <w:t>de la convention approuvée par arrêté du 20 octobre 2016 sont maintenues selon les modalités définies à l’annexe XX.</w:t>
      </w:r>
      <w:r>
        <w:t xml:space="preserve"> </w:t>
      </w:r>
    </w:p>
    <w:p w14:paraId="58C4C6F8" w14:textId="77777777" w:rsidR="0032506B" w:rsidRDefault="0032506B" w:rsidP="0052251F">
      <w:pPr>
        <w:spacing w:after="0" w:line="240" w:lineRule="auto"/>
        <w:jc w:val="both"/>
        <w:rPr>
          <w:rFonts w:cstheme="minorHAnsi"/>
        </w:rPr>
      </w:pPr>
    </w:p>
    <w:p w14:paraId="28EE7928" w14:textId="77777777" w:rsidR="0052251F" w:rsidRDefault="0052251F" w:rsidP="000C652B">
      <w:pPr>
        <w:spacing w:after="0" w:line="240" w:lineRule="auto"/>
        <w:jc w:val="both"/>
        <w:rPr>
          <w:rFonts w:cstheme="minorHAnsi"/>
        </w:rPr>
      </w:pPr>
    </w:p>
    <w:p w14:paraId="5FAAB791" w14:textId="77777777" w:rsidR="001A6AF3" w:rsidRDefault="001A6AF3">
      <w:r>
        <w:br w:type="page"/>
      </w:r>
    </w:p>
    <w:p w14:paraId="33510CD2" w14:textId="77777777" w:rsidR="00FA583E" w:rsidRPr="00E51BFF" w:rsidRDefault="001A6AF3">
      <w:pPr>
        <w:rPr>
          <w:b/>
        </w:rPr>
      </w:pPr>
      <w:r w:rsidRPr="00E51BFF">
        <w:rPr>
          <w:b/>
        </w:rPr>
        <w:lastRenderedPageBreak/>
        <w:t>Annexe XX + Annexe YY spécifique sur ordonnances numériques</w:t>
      </w:r>
    </w:p>
    <w:p w14:paraId="47659148" w14:textId="77777777" w:rsidR="001A6AF3" w:rsidRDefault="001A6AF3" w:rsidP="001A6AF3">
      <w:pPr>
        <w:pStyle w:val="Corpsdetexte"/>
        <w:spacing w:after="0" w:line="240" w:lineRule="auto"/>
        <w:jc w:val="both"/>
        <w:rPr>
          <w:rFonts w:cstheme="minorHAnsi"/>
        </w:rPr>
      </w:pPr>
      <w:r>
        <w:rPr>
          <w:rFonts w:cstheme="minorHAnsi"/>
        </w:rPr>
        <w:t>DONUM : description des indicateurs et modalités de calcul</w:t>
      </w:r>
    </w:p>
    <w:p w14:paraId="1E834B74" w14:textId="77777777" w:rsidR="001A6AF3" w:rsidRPr="00A24A50" w:rsidRDefault="001A6AF3" w:rsidP="001A6AF3">
      <w:pPr>
        <w:pStyle w:val="Corpsdetexte"/>
        <w:spacing w:after="0" w:line="240" w:lineRule="auto"/>
        <w:jc w:val="both"/>
        <w:rPr>
          <w:rFonts w:cstheme="minorHAnsi"/>
        </w:rPr>
      </w:pPr>
    </w:p>
    <w:p w14:paraId="2DF261E1" w14:textId="77777777" w:rsidR="001A6AF3" w:rsidRPr="001A6AF3" w:rsidRDefault="001A6AF3" w:rsidP="001A6AF3">
      <w:pPr>
        <w:pStyle w:val="Corpsdetexte"/>
        <w:numPr>
          <w:ilvl w:val="0"/>
          <w:numId w:val="5"/>
        </w:numPr>
        <w:autoSpaceDE w:val="0"/>
        <w:autoSpaceDN w:val="0"/>
        <w:adjustRightInd w:val="0"/>
        <w:spacing w:after="0" w:line="240" w:lineRule="auto"/>
        <w:jc w:val="both"/>
        <w:rPr>
          <w:b/>
          <w:bCs/>
        </w:rPr>
      </w:pPr>
      <w:r w:rsidRPr="001A6AF3">
        <w:rPr>
          <w:b/>
          <w:bCs/>
        </w:rPr>
        <w:t xml:space="preserve">Les indicateurs </w:t>
      </w:r>
      <w:r w:rsidRPr="001A6AF3">
        <w:rPr>
          <w:b/>
          <w:bCs/>
          <w:u w:val="single"/>
        </w:rPr>
        <w:t>socles</w:t>
      </w:r>
      <w:r w:rsidRPr="001A6AF3">
        <w:rPr>
          <w:b/>
          <w:bCs/>
        </w:rPr>
        <w:t> </w:t>
      </w:r>
    </w:p>
    <w:p w14:paraId="46A1CC2E" w14:textId="77777777" w:rsidR="001A6AF3" w:rsidRPr="001A6AF3" w:rsidRDefault="001A6AF3" w:rsidP="001A6AF3">
      <w:pPr>
        <w:pStyle w:val="Corpsdetexte"/>
        <w:autoSpaceDE w:val="0"/>
        <w:autoSpaceDN w:val="0"/>
        <w:adjustRightInd w:val="0"/>
        <w:spacing w:after="0" w:line="240" w:lineRule="auto"/>
        <w:ind w:left="720"/>
        <w:jc w:val="both"/>
      </w:pPr>
    </w:p>
    <w:p w14:paraId="4822D993" w14:textId="77777777" w:rsidR="001A6AF3" w:rsidRPr="001A6AF3" w:rsidRDefault="001A6AF3" w:rsidP="00BD43E5">
      <w:pPr>
        <w:pStyle w:val="Corpsdetexte"/>
        <w:numPr>
          <w:ilvl w:val="0"/>
          <w:numId w:val="13"/>
        </w:numPr>
        <w:autoSpaceDE w:val="0"/>
        <w:autoSpaceDN w:val="0"/>
        <w:adjustRightInd w:val="0"/>
        <w:spacing w:after="0" w:line="240" w:lineRule="auto"/>
        <w:jc w:val="both"/>
      </w:pPr>
      <w:r w:rsidRPr="001A6AF3">
        <w:rPr>
          <w:b/>
        </w:rPr>
        <w:t>Disposer d’un logiciel référencé Ségur (dernière version référencée)</w:t>
      </w:r>
      <w:r w:rsidRPr="001A6AF3">
        <w:t xml:space="preserve"> </w:t>
      </w:r>
      <w:r w:rsidRPr="001A6AF3">
        <w:rPr>
          <w:b/>
        </w:rPr>
        <w:t>avec</w:t>
      </w:r>
      <w:r w:rsidRPr="001A6AF3">
        <w:t xml:space="preserve"> </w:t>
      </w:r>
      <w:r w:rsidRPr="001A6AF3">
        <w:rPr>
          <w:b/>
        </w:rPr>
        <w:t>LAP certifié HAS</w:t>
      </w:r>
    </w:p>
    <w:p w14:paraId="6B2BDE00" w14:textId="3559BE70" w:rsidR="00A11E55" w:rsidRDefault="001A6AF3" w:rsidP="005D401D">
      <w:pPr>
        <w:pStyle w:val="Corpsdetexte"/>
        <w:spacing w:after="0"/>
        <w:jc w:val="both"/>
      </w:pPr>
      <w:r w:rsidRPr="001A6AF3">
        <w:t>L’exigence est de disposer d’un logiciel référencé Ségur intégrant les dernières évolutions</w:t>
      </w:r>
      <w:r w:rsidR="00E355F1">
        <w:t xml:space="preserve"> et </w:t>
      </w:r>
      <w:r w:rsidR="00A11E55">
        <w:t xml:space="preserve">d’un LAP </w:t>
      </w:r>
      <w:r w:rsidR="0062609F">
        <w:t xml:space="preserve">certifié par </w:t>
      </w:r>
      <w:proofErr w:type="gramStart"/>
      <w:r w:rsidR="0062609F">
        <w:t>la HAS</w:t>
      </w:r>
      <w:proofErr w:type="gramEnd"/>
      <w:r w:rsidR="0062609F">
        <w:t xml:space="preserve"> </w:t>
      </w:r>
      <w:r w:rsidR="00A11E55">
        <w:t>p</w:t>
      </w:r>
      <w:r w:rsidR="000179AE">
        <w:t>o</w:t>
      </w:r>
      <w:r w:rsidR="00A11E55">
        <w:t>ur l’ensemble des spécialités médicales.</w:t>
      </w:r>
    </w:p>
    <w:p w14:paraId="223B8E12" w14:textId="77777777" w:rsidR="00BD43E5" w:rsidRPr="00BD43E5" w:rsidRDefault="00BD43E5" w:rsidP="00BD43E5">
      <w:pPr>
        <w:pStyle w:val="Corpsdetexte"/>
        <w:autoSpaceDE w:val="0"/>
        <w:autoSpaceDN w:val="0"/>
        <w:adjustRightInd w:val="0"/>
        <w:spacing w:line="240" w:lineRule="auto"/>
        <w:ind w:left="720"/>
        <w:jc w:val="both"/>
        <w:rPr>
          <w:sz w:val="16"/>
        </w:rPr>
      </w:pPr>
    </w:p>
    <w:p w14:paraId="0CF095B9" w14:textId="6FD6E5D2" w:rsidR="001A6AF3" w:rsidRPr="001A6AF3" w:rsidRDefault="001A6AF3" w:rsidP="00BD43E5">
      <w:pPr>
        <w:pStyle w:val="Corpsdetexte"/>
        <w:numPr>
          <w:ilvl w:val="0"/>
          <w:numId w:val="13"/>
        </w:numPr>
        <w:autoSpaceDE w:val="0"/>
        <w:autoSpaceDN w:val="0"/>
        <w:adjustRightInd w:val="0"/>
        <w:spacing w:line="240" w:lineRule="auto"/>
        <w:jc w:val="both"/>
      </w:pPr>
      <w:r w:rsidRPr="001A6AF3">
        <w:rPr>
          <w:b/>
        </w:rPr>
        <w:t>Disposer d’une version du cahier des Charges Sesam-Vitale la plus à jour</w:t>
      </w:r>
    </w:p>
    <w:p w14:paraId="04AC8718" w14:textId="77777777" w:rsidR="001A6AF3" w:rsidRPr="001A6AF3" w:rsidRDefault="001A6AF3" w:rsidP="001A6AF3">
      <w:pPr>
        <w:pStyle w:val="Corpsdetexte"/>
        <w:spacing w:after="0" w:line="240" w:lineRule="auto"/>
        <w:jc w:val="both"/>
      </w:pPr>
      <w:r w:rsidRPr="001A6AF3">
        <w:t xml:space="preserve">Cet indicateur valorise la mise à jour de </w:t>
      </w:r>
      <w:r>
        <w:t>l’</w:t>
      </w:r>
      <w:r w:rsidRPr="001A6AF3">
        <w:t xml:space="preserve">outil de facturation comportant les fonctionnalités les plus </w:t>
      </w:r>
      <w:r w:rsidR="00A11E55">
        <w:t>récentes en pa</w:t>
      </w:r>
      <w:r>
        <w:t>rticulier</w:t>
      </w:r>
      <w:r w:rsidRPr="001A6AF3">
        <w:t xml:space="preserve"> celles qui fiabilisent la facturation et simplifient ses échanges avec l'assurance maladie.</w:t>
      </w:r>
    </w:p>
    <w:p w14:paraId="69C74FA0" w14:textId="77777777" w:rsidR="001A6AF3" w:rsidRPr="001A6AF3" w:rsidRDefault="001A6AF3" w:rsidP="00A11E55">
      <w:pPr>
        <w:pStyle w:val="Corpsdetexte"/>
        <w:spacing w:line="240" w:lineRule="auto"/>
        <w:jc w:val="both"/>
      </w:pPr>
      <w:r w:rsidRPr="001A6AF3">
        <w:t>Pour valider l’indicateur, le médecin doit disposer d'une version du cahier des charges SESAM -Vitale intégrant les avenants publiés sur le site du GIE SESAM-Vitale au 31/12 de l'année N-1 par rapport à l'année de référence.</w:t>
      </w:r>
    </w:p>
    <w:p w14:paraId="39B3F255" w14:textId="77777777" w:rsidR="00C421EC" w:rsidRPr="001A6AF3" w:rsidRDefault="00C421EC" w:rsidP="00C421EC">
      <w:pPr>
        <w:pStyle w:val="Corpsdetexte"/>
        <w:numPr>
          <w:ilvl w:val="0"/>
          <w:numId w:val="12"/>
        </w:numPr>
        <w:spacing w:line="240" w:lineRule="auto"/>
        <w:jc w:val="both"/>
        <w:rPr>
          <w:b/>
        </w:rPr>
      </w:pPr>
      <w:r w:rsidRPr="001A6AF3">
        <w:rPr>
          <w:b/>
        </w:rPr>
        <w:t>Taux de déclaration médecin traitant dématérialisée</w:t>
      </w:r>
    </w:p>
    <w:p w14:paraId="47647A0D" w14:textId="16BAB248" w:rsidR="00C421EC" w:rsidRPr="001A6AF3" w:rsidRDefault="00C421EC" w:rsidP="00C421EC">
      <w:pPr>
        <w:pStyle w:val="Corpsdetexte"/>
        <w:autoSpaceDE w:val="0"/>
        <w:autoSpaceDN w:val="0"/>
        <w:adjustRightInd w:val="0"/>
        <w:spacing w:line="240" w:lineRule="auto"/>
        <w:jc w:val="both"/>
      </w:pPr>
      <w:r>
        <w:t>Cet indicateur valorise le</w:t>
      </w:r>
      <w:r w:rsidRPr="001A6AF3">
        <w:t xml:space="preserve"> </w:t>
      </w:r>
      <w:r>
        <w:t xml:space="preserve">médecin qui réalise la plus grande part de ses </w:t>
      </w:r>
      <w:r w:rsidRPr="001A6AF3">
        <w:t>déclaration</w:t>
      </w:r>
      <w:r>
        <w:t>s</w:t>
      </w:r>
      <w:r w:rsidRPr="001A6AF3">
        <w:t xml:space="preserve"> médecin traitant d</w:t>
      </w:r>
      <w:r>
        <w:t>e manière d</w:t>
      </w:r>
      <w:r w:rsidRPr="001A6AF3">
        <w:t>ématérialisé</w:t>
      </w:r>
      <w:r>
        <w:t>e</w:t>
      </w:r>
      <w:r w:rsidRPr="001A6AF3">
        <w:t xml:space="preserve"> </w:t>
      </w:r>
      <w:r>
        <w:t xml:space="preserve">(à travers l’usage du téléservice) </w:t>
      </w:r>
      <w:r w:rsidRPr="001A6AF3">
        <w:t xml:space="preserve">pour </w:t>
      </w:r>
      <w:r>
        <w:t>valider l’indicateur</w:t>
      </w:r>
      <w:r w:rsidRPr="001A6AF3">
        <w:t>.</w:t>
      </w:r>
      <w:r>
        <w:t xml:space="preserve"> Le taux doit être supérieur ou égal à </w:t>
      </w:r>
      <w:r w:rsidR="00E51BFF">
        <w:t>XX</w:t>
      </w:r>
      <w:r>
        <w:t xml:space="preserve"> %.</w:t>
      </w:r>
    </w:p>
    <w:p w14:paraId="1E4697E6" w14:textId="77777777" w:rsidR="001A6AF3" w:rsidRPr="001A6AF3" w:rsidRDefault="001A6AF3" w:rsidP="00BD43E5">
      <w:pPr>
        <w:pStyle w:val="Corpsdetexte"/>
        <w:numPr>
          <w:ilvl w:val="0"/>
          <w:numId w:val="13"/>
        </w:numPr>
        <w:autoSpaceDE w:val="0"/>
        <w:autoSpaceDN w:val="0"/>
        <w:adjustRightInd w:val="0"/>
        <w:spacing w:after="0" w:line="240" w:lineRule="auto"/>
        <w:jc w:val="both"/>
        <w:rPr>
          <w:b/>
        </w:rPr>
      </w:pPr>
      <w:r w:rsidRPr="001A6AF3">
        <w:rPr>
          <w:b/>
        </w:rPr>
        <w:t>Taux de</w:t>
      </w:r>
      <w:r w:rsidRPr="001A6AF3">
        <w:t xml:space="preserve"> </w:t>
      </w:r>
      <w:r w:rsidRPr="001A6AF3">
        <w:rPr>
          <w:b/>
        </w:rPr>
        <w:t>télétransmission FSE</w:t>
      </w:r>
    </w:p>
    <w:p w14:paraId="0C4B5B1A" w14:textId="442C02C5" w:rsidR="00CC15A7" w:rsidRDefault="00BC4AD4" w:rsidP="001A6AF3">
      <w:pPr>
        <w:pStyle w:val="Corpsdetexte"/>
        <w:spacing w:line="240" w:lineRule="auto"/>
        <w:jc w:val="both"/>
      </w:pPr>
      <w:r>
        <w:t>Cet indicateur valorise le</w:t>
      </w:r>
      <w:r w:rsidRPr="001A6AF3">
        <w:t xml:space="preserve"> </w:t>
      </w:r>
      <w:r>
        <w:t xml:space="preserve">médecin qui réalise </w:t>
      </w:r>
      <w:r w:rsidR="009853D5" w:rsidRPr="009853D5">
        <w:t>un taux de télétransmission en feuilles de soins électroniques SESAM-Vitale (FSE avec carte Vitale ou FSE SESAM sans Vitale définies par l'article R</w:t>
      </w:r>
      <w:r w:rsidR="00C421EC">
        <w:t>.</w:t>
      </w:r>
      <w:r w:rsidR="009853D5" w:rsidRPr="009853D5">
        <w:t xml:space="preserve"> 161-43-1 du code de la sécurité sociale)</w:t>
      </w:r>
      <w:r w:rsidR="001A6AF3" w:rsidRPr="001A6AF3">
        <w:t xml:space="preserve"> </w:t>
      </w:r>
      <w:r>
        <w:t>supérieur ou égal à</w:t>
      </w:r>
      <w:r w:rsidR="001A6AF3" w:rsidRPr="001A6AF3">
        <w:t xml:space="preserve"> </w:t>
      </w:r>
      <w:r w:rsidR="00E51BFF">
        <w:t>XX</w:t>
      </w:r>
      <w:r w:rsidR="001A6AF3" w:rsidRPr="001A6AF3">
        <w:t>%.</w:t>
      </w:r>
      <w:r w:rsidR="005D401D" w:rsidDel="005D401D">
        <w:t xml:space="preserve"> </w:t>
      </w:r>
    </w:p>
    <w:p w14:paraId="558FDE97" w14:textId="77777777" w:rsidR="00C421EC" w:rsidRPr="00BD43E5" w:rsidRDefault="00C421EC" w:rsidP="00C421EC">
      <w:pPr>
        <w:pStyle w:val="Corpsdetexte"/>
        <w:numPr>
          <w:ilvl w:val="0"/>
          <w:numId w:val="2"/>
        </w:numPr>
        <w:autoSpaceDE w:val="0"/>
        <w:autoSpaceDN w:val="0"/>
        <w:adjustRightInd w:val="0"/>
        <w:spacing w:line="240" w:lineRule="auto"/>
        <w:jc w:val="both"/>
        <w:rPr>
          <w:b/>
        </w:rPr>
      </w:pPr>
      <w:r w:rsidRPr="001A6AF3">
        <w:rPr>
          <w:b/>
        </w:rPr>
        <w:t>Taux de protocole de soins électroniques (PSE)</w:t>
      </w:r>
    </w:p>
    <w:p w14:paraId="0B5B1828" w14:textId="5897A6FE" w:rsidR="00C421EC" w:rsidRDefault="00C421EC" w:rsidP="00C421EC">
      <w:pPr>
        <w:pStyle w:val="Corpsdetexte"/>
        <w:spacing w:after="0" w:line="240" w:lineRule="auto"/>
        <w:jc w:val="both"/>
      </w:pPr>
      <w:r>
        <w:t>Cet indicateur valorise le</w:t>
      </w:r>
      <w:r w:rsidRPr="001A6AF3">
        <w:t xml:space="preserve"> </w:t>
      </w:r>
      <w:r>
        <w:t xml:space="preserve">médecin qui réalise ses </w:t>
      </w:r>
      <w:r w:rsidRPr="001A6AF3">
        <w:t>demande</w:t>
      </w:r>
      <w:r>
        <w:t>s (protocole de soins électroniques)</w:t>
      </w:r>
      <w:r w:rsidRPr="001A6AF3">
        <w:t xml:space="preserve"> de prise en charge pour affection de longue dur</w:t>
      </w:r>
      <w:r>
        <w:t xml:space="preserve">ée aux professionnels de santé </w:t>
      </w:r>
      <w:r w:rsidRPr="001A6AF3">
        <w:t>d</w:t>
      </w:r>
      <w:r>
        <w:t>e manière d</w:t>
      </w:r>
      <w:r w:rsidRPr="001A6AF3">
        <w:t>ématérialisé</w:t>
      </w:r>
      <w:r>
        <w:t xml:space="preserve">e (à </w:t>
      </w:r>
      <w:r w:rsidR="00BD6E15">
        <w:t>travers l’usage du téléservice). Po</w:t>
      </w:r>
      <w:r w:rsidRPr="001A6AF3">
        <w:t xml:space="preserve">ur </w:t>
      </w:r>
      <w:r>
        <w:t>valider l’indicateur</w:t>
      </w:r>
      <w:r w:rsidR="00BD6E15">
        <w:t>, le</w:t>
      </w:r>
      <w:r>
        <w:t xml:space="preserve"> taux doit être supérieur ou égal à </w:t>
      </w:r>
      <w:r w:rsidR="00E51BFF">
        <w:t>XX</w:t>
      </w:r>
      <w:r>
        <w:t xml:space="preserve"> %.</w:t>
      </w:r>
    </w:p>
    <w:p w14:paraId="4AF77B18" w14:textId="77777777" w:rsidR="00C421EC" w:rsidRPr="001A6AF3" w:rsidRDefault="00C421EC" w:rsidP="00C421EC">
      <w:pPr>
        <w:pStyle w:val="Corpsdetexte"/>
        <w:spacing w:after="0" w:line="240" w:lineRule="auto"/>
        <w:jc w:val="both"/>
      </w:pPr>
    </w:p>
    <w:p w14:paraId="0CED5C88" w14:textId="74AB1006" w:rsidR="001A6AF3" w:rsidRPr="001A6AF3" w:rsidRDefault="001A6AF3" w:rsidP="00BD43E5">
      <w:pPr>
        <w:pStyle w:val="Corpsdetexte"/>
        <w:numPr>
          <w:ilvl w:val="0"/>
          <w:numId w:val="12"/>
        </w:numPr>
        <w:autoSpaceDE w:val="0"/>
        <w:autoSpaceDN w:val="0"/>
        <w:adjustRightInd w:val="0"/>
        <w:spacing w:after="0" w:line="240" w:lineRule="auto"/>
        <w:jc w:val="both"/>
      </w:pPr>
      <w:r w:rsidRPr="001A6AF3">
        <w:rPr>
          <w:b/>
        </w:rPr>
        <w:t>Taux</w:t>
      </w:r>
      <w:r w:rsidRPr="001A6AF3">
        <w:t xml:space="preserve"> </w:t>
      </w:r>
      <w:r w:rsidRPr="001A6AF3">
        <w:rPr>
          <w:b/>
        </w:rPr>
        <w:t>d’avis d’arrêt de travail dématérialisés</w:t>
      </w:r>
    </w:p>
    <w:p w14:paraId="67B62149" w14:textId="7F2854F0" w:rsidR="00E355F1" w:rsidRPr="001A6AF3" w:rsidRDefault="00BC4AD4" w:rsidP="00E355F1">
      <w:pPr>
        <w:pStyle w:val="Corpsdetexte"/>
        <w:autoSpaceDE w:val="0"/>
        <w:autoSpaceDN w:val="0"/>
        <w:adjustRightInd w:val="0"/>
        <w:spacing w:line="240" w:lineRule="auto"/>
        <w:jc w:val="both"/>
      </w:pPr>
      <w:r>
        <w:t>Cet indicateur valorise le</w:t>
      </w:r>
      <w:r w:rsidRPr="001A6AF3">
        <w:t xml:space="preserve"> </w:t>
      </w:r>
      <w:r>
        <w:t xml:space="preserve">médecin qui réalise </w:t>
      </w:r>
      <w:r w:rsidR="00E355F1">
        <w:t xml:space="preserve">la plus grande part de ses </w:t>
      </w:r>
      <w:r w:rsidR="00E355F1" w:rsidRPr="001A6AF3">
        <w:t>déclaration</w:t>
      </w:r>
      <w:r w:rsidR="00E355F1">
        <w:t>s</w:t>
      </w:r>
      <w:r w:rsidR="00E355F1" w:rsidRPr="001A6AF3">
        <w:t xml:space="preserve"> </w:t>
      </w:r>
      <w:r w:rsidR="00E355F1" w:rsidRPr="00094CCB">
        <w:t xml:space="preserve">d’arrêt de travail </w:t>
      </w:r>
      <w:r w:rsidR="00E355F1" w:rsidRPr="001A6AF3">
        <w:t>d</w:t>
      </w:r>
      <w:r w:rsidR="00E355F1">
        <w:t>e manière d</w:t>
      </w:r>
      <w:r w:rsidR="00E355F1" w:rsidRPr="001A6AF3">
        <w:t>ématérialisé</w:t>
      </w:r>
      <w:r w:rsidR="00E355F1">
        <w:t xml:space="preserve">e (à travers l’usage du téléservice) </w:t>
      </w:r>
      <w:r w:rsidR="00E355F1" w:rsidRPr="001A6AF3">
        <w:t xml:space="preserve">pour </w:t>
      </w:r>
      <w:r w:rsidR="00E355F1">
        <w:t>valider l’indicateur</w:t>
      </w:r>
      <w:r w:rsidR="00E355F1" w:rsidRPr="001A6AF3">
        <w:t>.</w:t>
      </w:r>
      <w:r w:rsidR="00E355F1">
        <w:t xml:space="preserve"> Le taux doit être supérieur ou égal à </w:t>
      </w:r>
      <w:r w:rsidR="00E51BFF">
        <w:t>XX</w:t>
      </w:r>
      <w:r w:rsidR="00E355F1">
        <w:t xml:space="preserve"> %.</w:t>
      </w:r>
    </w:p>
    <w:p w14:paraId="25DB2569" w14:textId="77777777" w:rsidR="00E355F1" w:rsidRDefault="00E355F1" w:rsidP="001A6AF3">
      <w:pPr>
        <w:pStyle w:val="Corpsdetexte"/>
        <w:spacing w:after="0" w:line="240" w:lineRule="auto"/>
        <w:jc w:val="both"/>
      </w:pPr>
    </w:p>
    <w:p w14:paraId="6336EBC8" w14:textId="77777777" w:rsidR="00E355F1" w:rsidRPr="001A6AF3" w:rsidRDefault="00E355F1" w:rsidP="001A6AF3">
      <w:pPr>
        <w:pStyle w:val="Corpsdetexte"/>
        <w:spacing w:after="0" w:line="240" w:lineRule="auto"/>
        <w:jc w:val="both"/>
      </w:pPr>
    </w:p>
    <w:p w14:paraId="4D00522A" w14:textId="77777777" w:rsidR="001A6AF3" w:rsidRPr="001A6AF3" w:rsidRDefault="001A6AF3" w:rsidP="001A6AF3">
      <w:pPr>
        <w:pStyle w:val="Corpsdetexte"/>
        <w:numPr>
          <w:ilvl w:val="0"/>
          <w:numId w:val="5"/>
        </w:numPr>
        <w:autoSpaceDE w:val="0"/>
        <w:autoSpaceDN w:val="0"/>
        <w:adjustRightInd w:val="0"/>
        <w:spacing w:after="0" w:line="240" w:lineRule="auto"/>
        <w:jc w:val="both"/>
        <w:rPr>
          <w:b/>
          <w:bCs/>
        </w:rPr>
      </w:pPr>
      <w:r w:rsidRPr="001A6AF3">
        <w:rPr>
          <w:b/>
          <w:bCs/>
        </w:rPr>
        <w:t>Les indicateurs optionnels</w:t>
      </w:r>
    </w:p>
    <w:p w14:paraId="3FA2E220" w14:textId="1EFAC434" w:rsidR="00094CCB" w:rsidRDefault="00094CCB" w:rsidP="00094CCB">
      <w:pPr>
        <w:pStyle w:val="Corpsdetexte"/>
        <w:autoSpaceDE w:val="0"/>
        <w:autoSpaceDN w:val="0"/>
        <w:adjustRightInd w:val="0"/>
        <w:spacing w:after="0" w:line="240" w:lineRule="auto"/>
        <w:jc w:val="both"/>
        <w:rPr>
          <w:b/>
          <w:bCs/>
        </w:rPr>
      </w:pPr>
    </w:p>
    <w:p w14:paraId="19AC275F" w14:textId="77777777" w:rsidR="00094CCB" w:rsidRPr="001A6AF3" w:rsidRDefault="00094CCB" w:rsidP="00094CCB">
      <w:pPr>
        <w:pStyle w:val="Corpsdetexte"/>
        <w:spacing w:after="0" w:line="240" w:lineRule="auto"/>
        <w:jc w:val="both"/>
      </w:pPr>
    </w:p>
    <w:p w14:paraId="7C6F2B3E" w14:textId="77777777" w:rsidR="00094CCB" w:rsidRPr="001A6AF3" w:rsidRDefault="00094CCB" w:rsidP="00094CCB">
      <w:pPr>
        <w:pStyle w:val="Corpsdetexte"/>
        <w:numPr>
          <w:ilvl w:val="0"/>
          <w:numId w:val="4"/>
        </w:numPr>
        <w:autoSpaceDE w:val="0"/>
        <w:autoSpaceDN w:val="0"/>
        <w:adjustRightInd w:val="0"/>
        <w:spacing w:line="240" w:lineRule="auto"/>
        <w:jc w:val="both"/>
        <w:rPr>
          <w:b/>
        </w:rPr>
      </w:pPr>
      <w:r w:rsidRPr="001A6AF3">
        <w:rPr>
          <w:b/>
        </w:rPr>
        <w:t xml:space="preserve">Taux de certificat médical d’accident du travail ou de maladie professionnelle (CM AT-MP) </w:t>
      </w:r>
    </w:p>
    <w:p w14:paraId="4FDAF185" w14:textId="77777777" w:rsidR="00094CCB" w:rsidRPr="001A6AF3" w:rsidRDefault="00094CCB" w:rsidP="00094CCB">
      <w:pPr>
        <w:pStyle w:val="Corpsdetexte"/>
        <w:spacing w:after="0" w:line="240" w:lineRule="auto"/>
        <w:jc w:val="both"/>
      </w:pPr>
      <w:r w:rsidRPr="001A6AF3">
        <w:t>Cet indicateur valorise le</w:t>
      </w:r>
      <w:r>
        <w:t xml:space="preserve"> médecin qui a</w:t>
      </w:r>
      <w:r w:rsidRPr="001A6AF3">
        <w:t xml:space="preserve"> recours à la dématérialisation du CM AT-MP.</w:t>
      </w:r>
    </w:p>
    <w:p w14:paraId="1D7048DF" w14:textId="77777777" w:rsidR="00094CCB" w:rsidRPr="001A6AF3" w:rsidRDefault="00094CCB" w:rsidP="00094CCB">
      <w:pPr>
        <w:pStyle w:val="Corpsdetexte"/>
        <w:spacing w:after="0" w:line="240" w:lineRule="auto"/>
        <w:jc w:val="both"/>
      </w:pPr>
    </w:p>
    <w:p w14:paraId="77A84669" w14:textId="77777777" w:rsidR="00094CCB" w:rsidRPr="001A6AF3" w:rsidRDefault="00094CCB" w:rsidP="00094CCB">
      <w:pPr>
        <w:pStyle w:val="Corpsdetexte"/>
        <w:numPr>
          <w:ilvl w:val="0"/>
          <w:numId w:val="4"/>
        </w:numPr>
        <w:autoSpaceDE w:val="0"/>
        <w:autoSpaceDN w:val="0"/>
        <w:adjustRightInd w:val="0"/>
        <w:spacing w:line="240" w:lineRule="auto"/>
        <w:jc w:val="both"/>
        <w:rPr>
          <w:b/>
        </w:rPr>
      </w:pPr>
      <w:r w:rsidRPr="001A6AF3">
        <w:rPr>
          <w:b/>
        </w:rPr>
        <w:t>Taux de dématérialisation SPE (prescription électronique de transport)</w:t>
      </w:r>
    </w:p>
    <w:p w14:paraId="0DA21B37" w14:textId="77777777" w:rsidR="00094CCB" w:rsidRPr="001A6AF3" w:rsidRDefault="00094CCB" w:rsidP="00094CCB">
      <w:pPr>
        <w:pStyle w:val="Corpsdetexte"/>
        <w:spacing w:after="0" w:line="240" w:lineRule="auto"/>
        <w:jc w:val="both"/>
      </w:pPr>
      <w:r w:rsidRPr="001A6AF3">
        <w:t xml:space="preserve">Cet indicateur valorise </w:t>
      </w:r>
      <w:r>
        <w:t>le médecin qui utilise le</w:t>
      </w:r>
      <w:r w:rsidRPr="001A6AF3">
        <w:t xml:space="preserve"> Service de Prescription Electronique de transport</w:t>
      </w:r>
      <w:r>
        <w:t xml:space="preserve"> pour ses prescriptions de transport</w:t>
      </w:r>
    </w:p>
    <w:p w14:paraId="5B88B593" w14:textId="3F9E99F2" w:rsidR="00094CCB" w:rsidRPr="001A6AF3" w:rsidRDefault="00094CCB" w:rsidP="00094CCB">
      <w:pPr>
        <w:pStyle w:val="Corpsdetexte"/>
        <w:spacing w:after="0" w:line="240" w:lineRule="auto"/>
        <w:jc w:val="both"/>
      </w:pPr>
    </w:p>
    <w:p w14:paraId="26AAAC22" w14:textId="77777777" w:rsidR="00094CCB" w:rsidRPr="001A6AF3" w:rsidRDefault="00094CCB" w:rsidP="00094CCB">
      <w:pPr>
        <w:pStyle w:val="Corpsdetexte"/>
        <w:numPr>
          <w:ilvl w:val="0"/>
          <w:numId w:val="4"/>
        </w:numPr>
        <w:autoSpaceDE w:val="0"/>
        <w:autoSpaceDN w:val="0"/>
        <w:adjustRightInd w:val="0"/>
        <w:spacing w:line="240" w:lineRule="auto"/>
        <w:jc w:val="both"/>
        <w:rPr>
          <w:b/>
        </w:rPr>
      </w:pPr>
      <w:r w:rsidRPr="001A6AF3">
        <w:rPr>
          <w:b/>
        </w:rPr>
        <w:t>Taux de déclaration simplifiée de grossesse en ligne</w:t>
      </w:r>
    </w:p>
    <w:p w14:paraId="7C9A651F" w14:textId="77777777" w:rsidR="00094CCB" w:rsidRPr="001A6AF3" w:rsidRDefault="00094CCB" w:rsidP="00094CCB">
      <w:pPr>
        <w:pStyle w:val="Corpsdetexte"/>
        <w:spacing w:after="0" w:line="240" w:lineRule="auto"/>
        <w:jc w:val="both"/>
      </w:pPr>
      <w:r w:rsidRPr="001A6AF3">
        <w:lastRenderedPageBreak/>
        <w:t xml:space="preserve">Cet indicateur valorise l’utilisation par le médecin de la déclaration simplifiée de grossesse en ligne. </w:t>
      </w:r>
    </w:p>
    <w:p w14:paraId="4A264F1F" w14:textId="77777777" w:rsidR="00094CCB" w:rsidRPr="001A6AF3" w:rsidRDefault="00094CCB" w:rsidP="00094CCB">
      <w:pPr>
        <w:pStyle w:val="Corpsdetexte"/>
        <w:spacing w:after="0" w:line="240" w:lineRule="auto"/>
        <w:jc w:val="both"/>
      </w:pPr>
    </w:p>
    <w:p w14:paraId="3AB631A7" w14:textId="77777777" w:rsidR="00094CCB" w:rsidRPr="001A6AF3" w:rsidRDefault="00094CCB" w:rsidP="00094CCB">
      <w:pPr>
        <w:pStyle w:val="Corpsdetexte"/>
        <w:numPr>
          <w:ilvl w:val="0"/>
          <w:numId w:val="4"/>
        </w:numPr>
        <w:autoSpaceDE w:val="0"/>
        <w:autoSpaceDN w:val="0"/>
        <w:adjustRightInd w:val="0"/>
        <w:spacing w:line="240" w:lineRule="auto"/>
        <w:jc w:val="both"/>
      </w:pPr>
      <w:r w:rsidRPr="001A6AF3">
        <w:rPr>
          <w:b/>
        </w:rPr>
        <w:t xml:space="preserve">Taux d’usage de la messagerie de santé Mon espace santé </w:t>
      </w:r>
    </w:p>
    <w:p w14:paraId="7A9BA1E4" w14:textId="77777777" w:rsidR="00094CCB" w:rsidRPr="001A6AF3" w:rsidRDefault="00094CCB" w:rsidP="00094CCB">
      <w:pPr>
        <w:pStyle w:val="Corpsdetexte"/>
        <w:spacing w:after="0" w:line="240" w:lineRule="auto"/>
        <w:jc w:val="both"/>
      </w:pPr>
      <w:r w:rsidRPr="001A6AF3">
        <w:t xml:space="preserve">L’indicateur valorise </w:t>
      </w:r>
      <w:r>
        <w:t>le médecin qui réalise ses</w:t>
      </w:r>
      <w:r w:rsidRPr="001A6AF3">
        <w:t xml:space="preserve"> échanges par </w:t>
      </w:r>
      <w:r>
        <w:t>courriel</w:t>
      </w:r>
      <w:r w:rsidRPr="001A6AF3">
        <w:t xml:space="preserve"> sécurisé avec </w:t>
      </w:r>
      <w:r>
        <w:t>ses</w:t>
      </w:r>
      <w:r w:rsidRPr="001A6AF3">
        <w:t xml:space="preserve"> patient</w:t>
      </w:r>
      <w:r>
        <w:t>s</w:t>
      </w:r>
      <w:r w:rsidRPr="001A6AF3">
        <w:t xml:space="preserve"> via la messagerie de Mon espace santé.</w:t>
      </w:r>
    </w:p>
    <w:p w14:paraId="29CC7327" w14:textId="77777777" w:rsidR="00094CCB" w:rsidRPr="001A6AF3" w:rsidRDefault="00094CCB" w:rsidP="00094CCB">
      <w:pPr>
        <w:pStyle w:val="Corpsdetexte"/>
        <w:spacing w:line="240" w:lineRule="auto"/>
        <w:jc w:val="both"/>
      </w:pPr>
    </w:p>
    <w:p w14:paraId="236A6EF8" w14:textId="77777777" w:rsidR="00094CCB" w:rsidRPr="001A6AF3" w:rsidRDefault="00094CCB" w:rsidP="00094CCB">
      <w:pPr>
        <w:pStyle w:val="Corpsdetexte"/>
        <w:numPr>
          <w:ilvl w:val="0"/>
          <w:numId w:val="4"/>
        </w:numPr>
        <w:autoSpaceDE w:val="0"/>
        <w:autoSpaceDN w:val="0"/>
        <w:adjustRightInd w:val="0"/>
        <w:spacing w:line="240" w:lineRule="auto"/>
        <w:jc w:val="both"/>
        <w:rPr>
          <w:b/>
        </w:rPr>
      </w:pPr>
      <w:r w:rsidRPr="001A6AF3">
        <w:rPr>
          <w:b/>
        </w:rPr>
        <w:t>Taux d’alimentation du Dossier Médical Partagé (Mon espace santé)</w:t>
      </w:r>
    </w:p>
    <w:p w14:paraId="452FE4BA" w14:textId="77777777" w:rsidR="00094CCB" w:rsidRPr="001A6AF3" w:rsidRDefault="00094CCB" w:rsidP="00094CCB">
      <w:pPr>
        <w:pStyle w:val="Corpsdetexte"/>
        <w:spacing w:line="240" w:lineRule="auto"/>
        <w:jc w:val="both"/>
      </w:pPr>
      <w:r w:rsidRPr="001A6AF3">
        <w:t xml:space="preserve">Cet indicateur valorise l’alimentation du DMP par les médecins, afin que les patients puissent récupérer et conserver dans Mon espace santé une copie numérique de leurs documents médicaux et les partager avec les professionnels habilités qui les prennent en charge. </w:t>
      </w:r>
    </w:p>
    <w:p w14:paraId="51F267E6" w14:textId="77777777" w:rsidR="00094CCB" w:rsidRPr="001A6AF3" w:rsidRDefault="00094CCB" w:rsidP="001A6AF3">
      <w:pPr>
        <w:pStyle w:val="Corpsdetexte"/>
        <w:autoSpaceDE w:val="0"/>
        <w:autoSpaceDN w:val="0"/>
        <w:adjustRightInd w:val="0"/>
        <w:spacing w:after="0" w:line="240" w:lineRule="auto"/>
        <w:ind w:left="720"/>
        <w:jc w:val="both"/>
        <w:rPr>
          <w:b/>
          <w:bCs/>
        </w:rPr>
      </w:pPr>
    </w:p>
    <w:p w14:paraId="283384EB" w14:textId="77777777" w:rsidR="001A6AF3" w:rsidRPr="001A6AF3" w:rsidRDefault="001A6AF3" w:rsidP="001A6AF3">
      <w:pPr>
        <w:pStyle w:val="Corpsdetexte"/>
        <w:numPr>
          <w:ilvl w:val="0"/>
          <w:numId w:val="4"/>
        </w:numPr>
        <w:autoSpaceDE w:val="0"/>
        <w:autoSpaceDN w:val="0"/>
        <w:adjustRightInd w:val="0"/>
        <w:spacing w:line="240" w:lineRule="auto"/>
        <w:jc w:val="both"/>
        <w:rPr>
          <w:b/>
        </w:rPr>
      </w:pPr>
      <w:r w:rsidRPr="001A6AF3">
        <w:rPr>
          <w:b/>
        </w:rPr>
        <w:t xml:space="preserve">Taux d’ordonnances numériques </w:t>
      </w:r>
    </w:p>
    <w:p w14:paraId="5B7F037C" w14:textId="77777777" w:rsidR="001A6AF3" w:rsidRPr="001A6AF3" w:rsidRDefault="001A6AF3" w:rsidP="001A6AF3">
      <w:pPr>
        <w:pStyle w:val="Corpsdetexte"/>
        <w:spacing w:after="0" w:line="240" w:lineRule="auto"/>
        <w:jc w:val="both"/>
      </w:pPr>
      <w:r w:rsidRPr="001A6AF3">
        <w:t xml:space="preserve">Cet indicateur permet de valoriser l’usage de l’ordonnance numérique de toutes les prescriptions </w:t>
      </w:r>
      <w:r w:rsidR="009853D5">
        <w:t xml:space="preserve">et </w:t>
      </w:r>
      <w:r w:rsidRPr="001A6AF3">
        <w:t xml:space="preserve">définie selon les modalités de l’annexe XX. </w:t>
      </w:r>
    </w:p>
    <w:p w14:paraId="21FA7778" w14:textId="77777777" w:rsidR="001A6AF3" w:rsidRPr="001A6AF3" w:rsidRDefault="001A6AF3" w:rsidP="001A6AF3">
      <w:pPr>
        <w:pStyle w:val="Corpsdetexte"/>
        <w:spacing w:after="0" w:line="240" w:lineRule="auto"/>
        <w:jc w:val="both"/>
      </w:pPr>
    </w:p>
    <w:p w14:paraId="20C5FA08" w14:textId="77777777" w:rsidR="001A6AF3" w:rsidRPr="001A6AF3" w:rsidRDefault="001A6AF3" w:rsidP="00BD43E5">
      <w:pPr>
        <w:pStyle w:val="Corpsdetexte"/>
        <w:numPr>
          <w:ilvl w:val="0"/>
          <w:numId w:val="4"/>
        </w:numPr>
        <w:autoSpaceDE w:val="0"/>
        <w:autoSpaceDN w:val="0"/>
        <w:adjustRightInd w:val="0"/>
        <w:spacing w:line="240" w:lineRule="auto"/>
        <w:jc w:val="both"/>
        <w:rPr>
          <w:b/>
        </w:rPr>
      </w:pPr>
      <w:r w:rsidRPr="001A6AF3">
        <w:rPr>
          <w:b/>
        </w:rPr>
        <w:t>Usage de l’application carte Vitale (</w:t>
      </w:r>
      <w:proofErr w:type="spellStart"/>
      <w:r w:rsidRPr="001A6AF3">
        <w:rPr>
          <w:b/>
        </w:rPr>
        <w:t>appCV</w:t>
      </w:r>
      <w:proofErr w:type="spellEnd"/>
      <w:r w:rsidRPr="001A6AF3">
        <w:rPr>
          <w:b/>
        </w:rPr>
        <w:t>)</w:t>
      </w:r>
    </w:p>
    <w:p w14:paraId="6615CAAA" w14:textId="1C6FBBCA" w:rsidR="001A6AF3" w:rsidRPr="001A6AF3" w:rsidRDefault="001A6AF3" w:rsidP="001A6AF3">
      <w:pPr>
        <w:pStyle w:val="NormalWeb"/>
        <w:shd w:val="clear" w:color="auto" w:fill="FFFFFF"/>
        <w:spacing w:before="0" w:beforeAutospacing="0" w:after="0" w:afterAutospacing="0"/>
        <w:jc w:val="both"/>
        <w:rPr>
          <w:rFonts w:asciiTheme="minorHAnsi" w:eastAsiaTheme="minorHAnsi" w:hAnsiTheme="minorHAnsi" w:cstheme="minorBidi"/>
          <w:sz w:val="22"/>
          <w:szCs w:val="22"/>
          <w:lang w:eastAsia="en-US"/>
        </w:rPr>
      </w:pPr>
      <w:r w:rsidRPr="001A6AF3">
        <w:rPr>
          <w:rFonts w:asciiTheme="minorHAnsi" w:eastAsiaTheme="minorHAnsi" w:hAnsiTheme="minorHAnsi" w:cstheme="minorBidi"/>
          <w:sz w:val="22"/>
          <w:szCs w:val="22"/>
          <w:lang w:eastAsia="en-US"/>
        </w:rPr>
        <w:t>Cet indicateur permet de valoriser l’achat de l’équipement nécessaire à l’utilisation de l’application carte vitale et l’usage de l’application carte Vitale</w:t>
      </w:r>
      <w:r w:rsidR="00BC4AD4">
        <w:rPr>
          <w:rFonts w:asciiTheme="minorHAnsi" w:eastAsiaTheme="minorHAnsi" w:hAnsiTheme="minorHAnsi" w:cstheme="minorBidi"/>
          <w:sz w:val="22"/>
          <w:szCs w:val="22"/>
          <w:lang w:eastAsia="en-US"/>
        </w:rPr>
        <w:t>.</w:t>
      </w:r>
    </w:p>
    <w:p w14:paraId="6D0CB9B7" w14:textId="77777777" w:rsidR="001A6AF3" w:rsidRDefault="001A6AF3"/>
    <w:p w14:paraId="1C3D9925" w14:textId="77777777" w:rsidR="0060023F" w:rsidRPr="005D401D" w:rsidRDefault="0060023F" w:rsidP="0060023F">
      <w:pPr>
        <w:pStyle w:val="Corpsdetexte"/>
        <w:numPr>
          <w:ilvl w:val="0"/>
          <w:numId w:val="5"/>
        </w:numPr>
        <w:autoSpaceDE w:val="0"/>
        <w:autoSpaceDN w:val="0"/>
        <w:adjustRightInd w:val="0"/>
        <w:spacing w:after="0" w:line="240" w:lineRule="auto"/>
        <w:jc w:val="both"/>
        <w:rPr>
          <w:b/>
        </w:rPr>
      </w:pPr>
      <w:r w:rsidRPr="005D401D">
        <w:rPr>
          <w:b/>
        </w:rPr>
        <w:t xml:space="preserve">Précisions de calcul des indicateurs </w:t>
      </w:r>
    </w:p>
    <w:p w14:paraId="0228D711" w14:textId="77777777" w:rsidR="0060023F" w:rsidRDefault="0060023F" w:rsidP="0060023F">
      <w:pPr>
        <w:spacing w:after="0"/>
      </w:pPr>
    </w:p>
    <w:p w14:paraId="73CF6A9C" w14:textId="476DCF7F" w:rsidR="0060023F" w:rsidRDefault="009853D5" w:rsidP="0060023F">
      <w:pPr>
        <w:jc w:val="both"/>
      </w:pPr>
      <w:r>
        <w:t xml:space="preserve">Le calcul des taux d’usage des différents </w:t>
      </w:r>
      <w:r w:rsidR="0060023F" w:rsidRPr="0060023F">
        <w:t>téléservice</w:t>
      </w:r>
      <w:r>
        <w:t>s (AAT, DMT, CM AT-MP, DSG, PSE, SPE)</w:t>
      </w:r>
      <w:r w:rsidR="0060023F" w:rsidRPr="0060023F">
        <w:t xml:space="preserve"> s'effectue sur la base des données du régime général uniquement. Il correspond au ratio entre le nombre de prescriptions ou déclarations effectuées de façon dématérialisée (numérateur) sur le nombre total de prescriptions ou déclarations effectuées au format papier et dématérialisés (dénominateur), transmis par le médecin au cours de l'année de référence.</w:t>
      </w:r>
    </w:p>
    <w:p w14:paraId="571D275D" w14:textId="3846A64F" w:rsidR="005D401D" w:rsidRDefault="005D401D" w:rsidP="005D401D">
      <w:pPr>
        <w:spacing w:after="0"/>
        <w:jc w:val="both"/>
      </w:pPr>
      <w:r>
        <w:t xml:space="preserve">Le calcul du taux de FSE est </w:t>
      </w:r>
      <w:r w:rsidRPr="005D401D">
        <w:t>effectué à partir du SNIIRAM et repose sur le nombre de FSE correspondant au nombre d'actes transmis en mode sécurisé Vitale et SESAM sans Vitale par le médecin au cours de l'année de référence, quel que soit le régime et sur l'ensemble des situations d'exercice du médecin</w:t>
      </w:r>
      <w:r>
        <w:t xml:space="preserve"> rapporté au n</w:t>
      </w:r>
      <w:r w:rsidRPr="005D401D">
        <w:t>ombre total de factures réalisées.</w:t>
      </w:r>
    </w:p>
    <w:p w14:paraId="096708BB" w14:textId="50C6B437" w:rsidR="001244F9" w:rsidRDefault="001244F9" w:rsidP="005D401D">
      <w:pPr>
        <w:spacing w:after="0"/>
        <w:jc w:val="both"/>
      </w:pPr>
    </w:p>
    <w:p w14:paraId="5ABE1426" w14:textId="7C9EDBB6" w:rsidR="005D401D" w:rsidRDefault="005D401D" w:rsidP="0060023F">
      <w:pPr>
        <w:jc w:val="both"/>
      </w:pPr>
    </w:p>
    <w:sectPr w:rsidR="005D401D">
      <w:headerReference w:type="even" r:id="rId10"/>
      <w:headerReference w:type="default" r:id="rId11"/>
      <w:footerReference w:type="even" r:id="rId12"/>
      <w:footerReference w:type="default" r:id="rId13"/>
      <w:headerReference w:type="first" r:id="rId14"/>
      <w:footerReference w:type="first" r:id="rId15"/>
      <w:pgSz w:w="11906" w:h="16838"/>
      <w:pgMar w:top="1417" w:right="1417"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9A6E4C9" w16cex:dateUtc="2024-03-21T15:5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C10BC3E" w16cid:durableId="29A6D67D"/>
  <w16cid:commentId w16cid:paraId="5912766E" w16cid:durableId="29A6D67E"/>
  <w16cid:commentId w16cid:paraId="303121B7" w16cid:durableId="29A6E4C9"/>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4E934A" w14:textId="77777777" w:rsidR="00734912" w:rsidRDefault="00734912" w:rsidP="001244F9">
      <w:pPr>
        <w:spacing w:after="0" w:line="240" w:lineRule="auto"/>
      </w:pPr>
      <w:r>
        <w:separator/>
      </w:r>
    </w:p>
  </w:endnote>
  <w:endnote w:type="continuationSeparator" w:id="0">
    <w:p w14:paraId="2BD1EAFC" w14:textId="77777777" w:rsidR="00734912" w:rsidRDefault="00734912" w:rsidP="001244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ency FB">
    <w:panose1 w:val="020B0503020202020204"/>
    <w:charset w:val="00"/>
    <w:family w:val="swiss"/>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048E27" w14:textId="77777777" w:rsidR="00354083" w:rsidRDefault="00354083">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B94869" w14:textId="77777777" w:rsidR="00354083" w:rsidRDefault="00354083">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CFAAAA" w14:textId="77777777" w:rsidR="00354083" w:rsidRDefault="0035408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C1EA43" w14:textId="77777777" w:rsidR="00734912" w:rsidRDefault="00734912" w:rsidP="001244F9">
      <w:pPr>
        <w:spacing w:after="0" w:line="240" w:lineRule="auto"/>
      </w:pPr>
      <w:r>
        <w:separator/>
      </w:r>
    </w:p>
  </w:footnote>
  <w:footnote w:type="continuationSeparator" w:id="0">
    <w:p w14:paraId="3CF5614C" w14:textId="77777777" w:rsidR="00734912" w:rsidRDefault="00734912" w:rsidP="001244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B075F7" w14:textId="3304C289" w:rsidR="00354083" w:rsidRDefault="00354083">
    <w:pPr>
      <w:pStyle w:val="En-tte"/>
    </w:pPr>
    <w:r>
      <w:rPr>
        <w:noProof/>
      </w:rPr>
      <w:pict w14:anchorId="2A6D027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936610" o:spid="_x0000_s2050" type="#_x0000_t136" style="position:absolute;margin-left:0;margin-top:0;width:532.95pt;height:106.55pt;rotation:315;z-index:-251655168;mso-position-horizontal:center;mso-position-horizontal-relative:margin;mso-position-vertical:center;mso-position-vertical-relative:margin" o:allowincell="f" fillcolor="black" stroked="f">
          <v:textpath style="font-family:&quot;Calibri&quot;;font-size:1pt" string="PROJET DE TRAVAIL "/>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1460AD" w14:textId="1304B33A" w:rsidR="00354083" w:rsidRDefault="00354083">
    <w:pPr>
      <w:pStyle w:val="En-tte"/>
    </w:pPr>
    <w:r>
      <w:rPr>
        <w:noProof/>
      </w:rPr>
      <w:pict w14:anchorId="67D5E02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936611" o:spid="_x0000_s2051" type="#_x0000_t136" style="position:absolute;margin-left:0;margin-top:0;width:532.95pt;height:106.55pt;rotation:315;z-index:-251653120;mso-position-horizontal:center;mso-position-horizontal-relative:margin;mso-position-vertical:center;mso-position-vertical-relative:margin" o:allowincell="f" fillcolor="black" stroked="f">
          <v:textpath style="font-family:&quot;Calibri&quot;;font-size:1pt" string="PROJET DE TRAVAIL "/>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B8AE30" w14:textId="1DD22B30" w:rsidR="00354083" w:rsidRDefault="00354083">
    <w:pPr>
      <w:pStyle w:val="En-tte"/>
    </w:pPr>
    <w:r>
      <w:rPr>
        <w:noProof/>
      </w:rPr>
      <w:pict w14:anchorId="200FEBB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936609" o:spid="_x0000_s2049" type="#_x0000_t136" style="position:absolute;margin-left:0;margin-top:0;width:532.95pt;height:106.55pt;rotation:315;z-index:-251657216;mso-position-horizontal:center;mso-position-horizontal-relative:margin;mso-position-vertical:center;mso-position-vertical-relative:margin" o:allowincell="f" fillcolor="black" stroked="f">
          <v:textpath style="font-family:&quot;Calibri&quot;;font-size:1pt" string="PROJET DE TRAVAIL "/>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6912B8"/>
    <w:multiLevelType w:val="hybridMultilevel"/>
    <w:tmpl w:val="50FC355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4963957"/>
    <w:multiLevelType w:val="hybridMultilevel"/>
    <w:tmpl w:val="03DC61DA"/>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26E25B56"/>
    <w:multiLevelType w:val="hybridMultilevel"/>
    <w:tmpl w:val="D9E83D70"/>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B375DD4"/>
    <w:multiLevelType w:val="hybridMultilevel"/>
    <w:tmpl w:val="8D22EF86"/>
    <w:lvl w:ilvl="0" w:tplc="A8403FEE">
      <w:start w:val="1"/>
      <w:numFmt w:val="bullet"/>
      <w:lvlText w:val="-"/>
      <w:lvlJc w:val="left"/>
      <w:pPr>
        <w:ind w:left="720" w:hanging="360"/>
      </w:pPr>
      <w:rPr>
        <w:rFonts w:ascii="Agency FB" w:hAnsi="Agency FB" w:hint="default"/>
      </w:rPr>
    </w:lvl>
    <w:lvl w:ilvl="1" w:tplc="F74E34C8">
      <w:start w:val="1"/>
      <w:numFmt w:val="bullet"/>
      <w:lvlText w:val="o"/>
      <w:lvlJc w:val="left"/>
      <w:pPr>
        <w:ind w:left="1440" w:hanging="360"/>
      </w:pPr>
      <w:rPr>
        <w:rFonts w:ascii="Courier New" w:hAnsi="Courier New" w:cs="Courier New" w:hint="default"/>
      </w:rPr>
    </w:lvl>
    <w:lvl w:ilvl="2" w:tplc="6B76F1B0">
      <w:start w:val="1"/>
      <w:numFmt w:val="bullet"/>
      <w:lvlText w:val=""/>
      <w:lvlJc w:val="left"/>
      <w:pPr>
        <w:ind w:left="2160" w:hanging="360"/>
      </w:pPr>
      <w:rPr>
        <w:rFonts w:ascii="Wingdings" w:hAnsi="Wingdings" w:hint="default"/>
      </w:rPr>
    </w:lvl>
    <w:lvl w:ilvl="3" w:tplc="8D2C599C">
      <w:start w:val="1"/>
      <w:numFmt w:val="bullet"/>
      <w:lvlText w:val=""/>
      <w:lvlJc w:val="left"/>
      <w:pPr>
        <w:ind w:left="2880" w:hanging="360"/>
      </w:pPr>
      <w:rPr>
        <w:rFonts w:ascii="Symbol" w:hAnsi="Symbol" w:hint="default"/>
      </w:rPr>
    </w:lvl>
    <w:lvl w:ilvl="4" w:tplc="1A98B224">
      <w:start w:val="1"/>
      <w:numFmt w:val="bullet"/>
      <w:lvlText w:val="o"/>
      <w:lvlJc w:val="left"/>
      <w:pPr>
        <w:ind w:left="3600" w:hanging="360"/>
      </w:pPr>
      <w:rPr>
        <w:rFonts w:ascii="Courier New" w:hAnsi="Courier New" w:cs="Courier New" w:hint="default"/>
      </w:rPr>
    </w:lvl>
    <w:lvl w:ilvl="5" w:tplc="85FA6E7A">
      <w:start w:val="1"/>
      <w:numFmt w:val="bullet"/>
      <w:lvlText w:val=""/>
      <w:lvlJc w:val="left"/>
      <w:pPr>
        <w:ind w:left="4320" w:hanging="360"/>
      </w:pPr>
      <w:rPr>
        <w:rFonts w:ascii="Wingdings" w:hAnsi="Wingdings" w:hint="default"/>
      </w:rPr>
    </w:lvl>
    <w:lvl w:ilvl="6" w:tplc="C506F12E">
      <w:start w:val="1"/>
      <w:numFmt w:val="bullet"/>
      <w:lvlText w:val=""/>
      <w:lvlJc w:val="left"/>
      <w:pPr>
        <w:ind w:left="5040" w:hanging="360"/>
      </w:pPr>
      <w:rPr>
        <w:rFonts w:ascii="Symbol" w:hAnsi="Symbol" w:hint="default"/>
      </w:rPr>
    </w:lvl>
    <w:lvl w:ilvl="7" w:tplc="FD7ACBF2">
      <w:start w:val="1"/>
      <w:numFmt w:val="bullet"/>
      <w:lvlText w:val="o"/>
      <w:lvlJc w:val="left"/>
      <w:pPr>
        <w:ind w:left="5760" w:hanging="360"/>
      </w:pPr>
      <w:rPr>
        <w:rFonts w:ascii="Courier New" w:hAnsi="Courier New" w:cs="Courier New" w:hint="default"/>
      </w:rPr>
    </w:lvl>
    <w:lvl w:ilvl="8" w:tplc="BA7E0F0A">
      <w:start w:val="1"/>
      <w:numFmt w:val="bullet"/>
      <w:lvlText w:val=""/>
      <w:lvlJc w:val="left"/>
      <w:pPr>
        <w:ind w:left="6480" w:hanging="360"/>
      </w:pPr>
      <w:rPr>
        <w:rFonts w:ascii="Wingdings" w:hAnsi="Wingdings" w:hint="default"/>
      </w:rPr>
    </w:lvl>
  </w:abstractNum>
  <w:abstractNum w:abstractNumId="4" w15:restartNumberingAfterBreak="0">
    <w:nsid w:val="3B8E7478"/>
    <w:multiLevelType w:val="hybridMultilevel"/>
    <w:tmpl w:val="0D000902"/>
    <w:lvl w:ilvl="0" w:tplc="040C0011">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4B333874"/>
    <w:multiLevelType w:val="hybridMultilevel"/>
    <w:tmpl w:val="FE628BB8"/>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51045F05"/>
    <w:multiLevelType w:val="hybridMultilevel"/>
    <w:tmpl w:val="125A77B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53A53322"/>
    <w:multiLevelType w:val="hybridMultilevel"/>
    <w:tmpl w:val="C0CE1B2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63D22EFE"/>
    <w:multiLevelType w:val="hybridMultilevel"/>
    <w:tmpl w:val="AAE8FD46"/>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6882035E"/>
    <w:multiLevelType w:val="hybridMultilevel"/>
    <w:tmpl w:val="711A884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788A2313"/>
    <w:multiLevelType w:val="hybridMultilevel"/>
    <w:tmpl w:val="09E28572"/>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7C0C1AD4"/>
    <w:multiLevelType w:val="hybridMultilevel"/>
    <w:tmpl w:val="7B5C178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7FD902A9"/>
    <w:multiLevelType w:val="hybridMultilevel"/>
    <w:tmpl w:val="86223AA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1"/>
  </w:num>
  <w:num w:numId="4">
    <w:abstractNumId w:val="12"/>
  </w:num>
  <w:num w:numId="5">
    <w:abstractNumId w:val="4"/>
  </w:num>
  <w:num w:numId="6">
    <w:abstractNumId w:val="2"/>
  </w:num>
  <w:num w:numId="7">
    <w:abstractNumId w:val="10"/>
  </w:num>
  <w:num w:numId="8">
    <w:abstractNumId w:val="8"/>
  </w:num>
  <w:num w:numId="9">
    <w:abstractNumId w:val="9"/>
  </w:num>
  <w:num w:numId="10">
    <w:abstractNumId w:val="11"/>
  </w:num>
  <w:num w:numId="11">
    <w:abstractNumId w:val="3"/>
  </w:num>
  <w:num w:numId="12">
    <w:abstractNumId w:val="7"/>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652B"/>
    <w:rsid w:val="000179AE"/>
    <w:rsid w:val="00094CCB"/>
    <w:rsid w:val="000C652B"/>
    <w:rsid w:val="001244F9"/>
    <w:rsid w:val="00166F08"/>
    <w:rsid w:val="00171BF6"/>
    <w:rsid w:val="001A3C3C"/>
    <w:rsid w:val="001A6AF3"/>
    <w:rsid w:val="0030105F"/>
    <w:rsid w:val="003238F3"/>
    <w:rsid w:val="0032506B"/>
    <w:rsid w:val="00354083"/>
    <w:rsid w:val="00467721"/>
    <w:rsid w:val="004E5B4A"/>
    <w:rsid w:val="0052251F"/>
    <w:rsid w:val="00572CD4"/>
    <w:rsid w:val="005A0F71"/>
    <w:rsid w:val="005D401D"/>
    <w:rsid w:val="0060023F"/>
    <w:rsid w:val="006075B8"/>
    <w:rsid w:val="0062166C"/>
    <w:rsid w:val="0062609F"/>
    <w:rsid w:val="0067223D"/>
    <w:rsid w:val="00682DB9"/>
    <w:rsid w:val="00734912"/>
    <w:rsid w:val="007D526F"/>
    <w:rsid w:val="00913B2A"/>
    <w:rsid w:val="009853D5"/>
    <w:rsid w:val="00A11E55"/>
    <w:rsid w:val="00A411C0"/>
    <w:rsid w:val="00BC4AD4"/>
    <w:rsid w:val="00BD1379"/>
    <w:rsid w:val="00BD43E5"/>
    <w:rsid w:val="00BD6E15"/>
    <w:rsid w:val="00C06FD5"/>
    <w:rsid w:val="00C1281A"/>
    <w:rsid w:val="00C421EC"/>
    <w:rsid w:val="00CB53C9"/>
    <w:rsid w:val="00CC15A7"/>
    <w:rsid w:val="00CE59A7"/>
    <w:rsid w:val="00CF4776"/>
    <w:rsid w:val="00CF5D73"/>
    <w:rsid w:val="00DE5C8A"/>
    <w:rsid w:val="00DF4E79"/>
    <w:rsid w:val="00E25C80"/>
    <w:rsid w:val="00E355F1"/>
    <w:rsid w:val="00E51BFF"/>
    <w:rsid w:val="00E65BF5"/>
    <w:rsid w:val="00FA583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099BD2B"/>
  <w15:chartTrackingRefBased/>
  <w15:docId w15:val="{18BC7A33-964F-4F0C-87D8-989077123D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652B"/>
  </w:style>
  <w:style w:type="paragraph" w:styleId="Titre4">
    <w:name w:val="heading 4"/>
    <w:basedOn w:val="Normal"/>
    <w:next w:val="Normal"/>
    <w:link w:val="Titre4Car"/>
    <w:uiPriority w:val="9"/>
    <w:unhideWhenUsed/>
    <w:qFormat/>
    <w:rsid w:val="000C652B"/>
    <w:pPr>
      <w:keepNext/>
      <w:keepLines/>
      <w:spacing w:before="40" w:after="0"/>
      <w:outlineLvl w:val="3"/>
    </w:pPr>
    <w:rPr>
      <w:rFonts w:eastAsiaTheme="majorEastAsia" w:cstheme="majorBidi"/>
      <w:iCs/>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4Car">
    <w:name w:val="Titre 4 Car"/>
    <w:basedOn w:val="Policepardfaut"/>
    <w:link w:val="Titre4"/>
    <w:uiPriority w:val="9"/>
    <w:rsid w:val="000C652B"/>
    <w:rPr>
      <w:rFonts w:eastAsiaTheme="majorEastAsia" w:cstheme="majorBidi"/>
      <w:iCs/>
      <w:u w:val="single"/>
    </w:rPr>
  </w:style>
  <w:style w:type="paragraph" w:styleId="NormalWeb">
    <w:name w:val="Normal (Web)"/>
    <w:basedOn w:val="Normal"/>
    <w:uiPriority w:val="99"/>
    <w:unhideWhenUsed/>
    <w:rsid w:val="000C652B"/>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Corpsdetexte">
    <w:name w:val="Body Text"/>
    <w:aliases w:val="Corps de texte convention"/>
    <w:basedOn w:val="Normal"/>
    <w:link w:val="CorpsdetexteCar"/>
    <w:uiPriority w:val="99"/>
    <w:unhideWhenUsed/>
    <w:rsid w:val="000C652B"/>
    <w:pPr>
      <w:spacing w:after="120"/>
    </w:pPr>
  </w:style>
  <w:style w:type="character" w:customStyle="1" w:styleId="CorpsdetexteCar">
    <w:name w:val="Corps de texte Car"/>
    <w:aliases w:val="Corps de texte convention Car"/>
    <w:basedOn w:val="Policepardfaut"/>
    <w:link w:val="Corpsdetexte"/>
    <w:uiPriority w:val="99"/>
    <w:rsid w:val="000C652B"/>
  </w:style>
  <w:style w:type="table" w:styleId="Grilledutableau">
    <w:name w:val="Table Grid"/>
    <w:basedOn w:val="TableauNormal"/>
    <w:rsid w:val="000C652B"/>
    <w:pPr>
      <w:spacing w:after="0" w:line="240" w:lineRule="auto"/>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arquedecommentaire">
    <w:name w:val="annotation reference"/>
    <w:basedOn w:val="Policepardfaut"/>
    <w:uiPriority w:val="99"/>
    <w:semiHidden/>
    <w:unhideWhenUsed/>
    <w:rsid w:val="000C652B"/>
    <w:rPr>
      <w:sz w:val="16"/>
      <w:szCs w:val="16"/>
    </w:rPr>
  </w:style>
  <w:style w:type="paragraph" w:styleId="Commentaire">
    <w:name w:val="annotation text"/>
    <w:basedOn w:val="Normal"/>
    <w:link w:val="CommentaireCar"/>
    <w:uiPriority w:val="99"/>
    <w:unhideWhenUsed/>
    <w:rsid w:val="000C652B"/>
    <w:pPr>
      <w:spacing w:line="240" w:lineRule="auto"/>
    </w:pPr>
    <w:rPr>
      <w:sz w:val="20"/>
      <w:szCs w:val="20"/>
    </w:rPr>
  </w:style>
  <w:style w:type="character" w:customStyle="1" w:styleId="CommentaireCar">
    <w:name w:val="Commentaire Car"/>
    <w:basedOn w:val="Policepardfaut"/>
    <w:link w:val="Commentaire"/>
    <w:uiPriority w:val="99"/>
    <w:rsid w:val="000C652B"/>
    <w:rPr>
      <w:sz w:val="20"/>
      <w:szCs w:val="20"/>
    </w:rPr>
  </w:style>
  <w:style w:type="paragraph" w:styleId="Objetducommentaire">
    <w:name w:val="annotation subject"/>
    <w:basedOn w:val="Commentaire"/>
    <w:next w:val="Commentaire"/>
    <w:link w:val="ObjetducommentaireCar"/>
    <w:uiPriority w:val="99"/>
    <w:semiHidden/>
    <w:unhideWhenUsed/>
    <w:rsid w:val="000C652B"/>
    <w:rPr>
      <w:b/>
      <w:bCs/>
    </w:rPr>
  </w:style>
  <w:style w:type="character" w:customStyle="1" w:styleId="ObjetducommentaireCar">
    <w:name w:val="Objet du commentaire Car"/>
    <w:basedOn w:val="CommentaireCar"/>
    <w:link w:val="Objetducommentaire"/>
    <w:uiPriority w:val="99"/>
    <w:semiHidden/>
    <w:rsid w:val="000C652B"/>
    <w:rPr>
      <w:b/>
      <w:bCs/>
      <w:sz w:val="20"/>
      <w:szCs w:val="20"/>
    </w:rPr>
  </w:style>
  <w:style w:type="paragraph" w:styleId="Textedebulles">
    <w:name w:val="Balloon Text"/>
    <w:basedOn w:val="Normal"/>
    <w:link w:val="TextedebullesCar"/>
    <w:uiPriority w:val="99"/>
    <w:semiHidden/>
    <w:unhideWhenUsed/>
    <w:rsid w:val="000C652B"/>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0C652B"/>
    <w:rPr>
      <w:rFonts w:ascii="Segoe UI" w:hAnsi="Segoe UI" w:cs="Segoe UI"/>
      <w:sz w:val="18"/>
      <w:szCs w:val="18"/>
    </w:rPr>
  </w:style>
  <w:style w:type="paragraph" w:styleId="Paragraphedeliste">
    <w:name w:val="List Paragraph"/>
    <w:basedOn w:val="Normal"/>
    <w:link w:val="ParagraphedelisteCar"/>
    <w:uiPriority w:val="34"/>
    <w:qFormat/>
    <w:rsid w:val="0060023F"/>
    <w:pPr>
      <w:ind w:left="720"/>
      <w:contextualSpacing/>
    </w:pPr>
  </w:style>
  <w:style w:type="character" w:customStyle="1" w:styleId="ParagraphedelisteCar">
    <w:name w:val="Paragraphe de liste Car"/>
    <w:basedOn w:val="Policepardfaut"/>
    <w:link w:val="Paragraphedeliste"/>
    <w:uiPriority w:val="34"/>
    <w:rsid w:val="005D401D"/>
  </w:style>
  <w:style w:type="paragraph" w:styleId="Rvision">
    <w:name w:val="Revision"/>
    <w:hidden/>
    <w:uiPriority w:val="99"/>
    <w:semiHidden/>
    <w:rsid w:val="00BD43E5"/>
    <w:pPr>
      <w:spacing w:after="0" w:line="240" w:lineRule="auto"/>
    </w:pPr>
  </w:style>
  <w:style w:type="paragraph" w:styleId="Notedebasdepage">
    <w:name w:val="footnote text"/>
    <w:basedOn w:val="Normal"/>
    <w:link w:val="NotedebasdepageCar"/>
    <w:uiPriority w:val="99"/>
    <w:semiHidden/>
    <w:unhideWhenUsed/>
    <w:rsid w:val="001244F9"/>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1244F9"/>
    <w:rPr>
      <w:sz w:val="20"/>
      <w:szCs w:val="20"/>
    </w:rPr>
  </w:style>
  <w:style w:type="character" w:styleId="Appelnotedebasdep">
    <w:name w:val="footnote reference"/>
    <w:basedOn w:val="Policepardfaut"/>
    <w:uiPriority w:val="99"/>
    <w:semiHidden/>
    <w:unhideWhenUsed/>
    <w:rsid w:val="001244F9"/>
    <w:rPr>
      <w:vertAlign w:val="superscript"/>
    </w:rPr>
  </w:style>
  <w:style w:type="paragraph" w:styleId="En-tte">
    <w:name w:val="header"/>
    <w:basedOn w:val="Normal"/>
    <w:link w:val="En-tteCar"/>
    <w:uiPriority w:val="99"/>
    <w:unhideWhenUsed/>
    <w:rsid w:val="00354083"/>
    <w:pPr>
      <w:tabs>
        <w:tab w:val="center" w:pos="4536"/>
        <w:tab w:val="right" w:pos="9072"/>
      </w:tabs>
      <w:spacing w:after="0" w:line="240" w:lineRule="auto"/>
    </w:pPr>
  </w:style>
  <w:style w:type="character" w:customStyle="1" w:styleId="En-tteCar">
    <w:name w:val="En-tête Car"/>
    <w:basedOn w:val="Policepardfaut"/>
    <w:link w:val="En-tte"/>
    <w:uiPriority w:val="99"/>
    <w:rsid w:val="00354083"/>
  </w:style>
  <w:style w:type="paragraph" w:styleId="Pieddepage">
    <w:name w:val="footer"/>
    <w:basedOn w:val="Normal"/>
    <w:link w:val="PieddepageCar"/>
    <w:uiPriority w:val="99"/>
    <w:unhideWhenUsed/>
    <w:rsid w:val="0035408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540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1643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microsoft.com/office/2018/08/relationships/commentsExtensible" Target="commentsExtensi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19" Type="http://schemas.microsoft.com/office/2016/09/relationships/commentsIds" Target="commentsIds.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733D122265F1A46AF37CA34AB77169C" ma:contentTypeVersion="12" ma:contentTypeDescription="Crée un document." ma:contentTypeScope="" ma:versionID="a4473ad3f50971a2d3655e2e8d60b7c3">
  <xsd:schema xmlns:xsd="http://www.w3.org/2001/XMLSchema" xmlns:xs="http://www.w3.org/2001/XMLSchema" xmlns:p="http://schemas.microsoft.com/office/2006/metadata/properties" xmlns:ns2="a5ab358e-d15c-4030-a472-8776bbb10f9f" xmlns:ns3="32f87523-68ff-45bb-a0ad-1e12c12007df" targetNamespace="http://schemas.microsoft.com/office/2006/metadata/properties" ma:root="true" ma:fieldsID="ba3380e9a21d302622111c2d886d311a" ns2:_="" ns3:_="">
    <xsd:import namespace="a5ab358e-d15c-4030-a472-8776bbb10f9f"/>
    <xsd:import namespace="32f87523-68ff-45bb-a0ad-1e12c12007d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ab358e-d15c-4030-a472-8776bbb10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3623ea3-be23-4189-a25b-bcadb097ef14"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2f87523-68ff-45bb-a0ad-1e12c12007df"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e2795bb2-54e0-4907-a518-2fc9c8d998dc}" ma:internalName="TaxCatchAll" ma:showField="CatchAllData" ma:web="32f87523-68ff-45bb-a0ad-1e12c12007d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ED3FBA-2752-4551-86E2-876C763A5E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ab358e-d15c-4030-a472-8776bbb10f9f"/>
    <ds:schemaRef ds:uri="32f87523-68ff-45bb-a0ad-1e12c12007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138580D-EDDF-432F-A35D-D9D15082D1DE}">
  <ds:schemaRefs>
    <ds:schemaRef ds:uri="http://schemas.microsoft.com/sharepoint/v3/contenttype/forms"/>
  </ds:schemaRefs>
</ds:datastoreItem>
</file>

<file path=customXml/itemProps3.xml><?xml version="1.0" encoding="utf-8"?>
<ds:datastoreItem xmlns:ds="http://schemas.openxmlformats.org/officeDocument/2006/customXml" ds:itemID="{83CB4B9C-06A4-445D-919F-63770586FE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1004</Words>
  <Characters>5522</Characters>
  <Application>Microsoft Office Word</Application>
  <DocSecurity>0</DocSecurity>
  <Lines>46</Lines>
  <Paragraphs>13</Paragraphs>
  <ScaleCrop>false</ScaleCrop>
  <HeadingPairs>
    <vt:vector size="2" baseType="variant">
      <vt:variant>
        <vt:lpstr>Titre</vt:lpstr>
      </vt:variant>
      <vt:variant>
        <vt:i4>1</vt:i4>
      </vt:variant>
    </vt:vector>
  </HeadingPairs>
  <TitlesOfParts>
    <vt:vector size="1" baseType="lpstr">
      <vt:lpstr/>
    </vt:vector>
  </TitlesOfParts>
  <Company>Cnam</Company>
  <LinksUpToDate>false</LinksUpToDate>
  <CharactersWithSpaces>6513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BONELLY DUPONT CLOTILDE (CNAM / Paris)</dc:creator>
  <cp:keywords/>
  <dc:description/>
  <cp:lastModifiedBy>ZACCHERINI THIBAUT (CNAM / Paris)</cp:lastModifiedBy>
  <cp:revision>2</cp:revision>
  <dcterms:created xsi:type="dcterms:W3CDTF">2024-04-02T15:04:00Z</dcterms:created>
  <dcterms:modified xsi:type="dcterms:W3CDTF">2024-04-02T15:04:00Z</dcterms:modified>
</cp:coreProperties>
</file>